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045" w:rsidRPr="003F3045" w:rsidRDefault="003F3045" w:rsidP="003F3045">
      <w:pPr>
        <w:shd w:val="clear" w:color="auto" w:fill="FBFBFB"/>
        <w:spacing w:after="180" w:line="315" w:lineRule="atLeast"/>
        <w:rPr>
          <w:rFonts w:ascii="proxima-nova" w:eastAsia="Times New Roman" w:hAnsi="proxima-nova" w:cs="Times New Roman"/>
          <w:b/>
          <w:bCs/>
          <w:color w:val="4A4949"/>
          <w:sz w:val="23"/>
          <w:szCs w:val="23"/>
          <w:lang w:eastAsia="cs-CZ"/>
        </w:rPr>
      </w:pPr>
      <w:r w:rsidRPr="003F3045">
        <w:rPr>
          <w:rFonts w:ascii="proxima-nova" w:eastAsia="Times New Roman" w:hAnsi="proxima-nova" w:cs="Times New Roman"/>
          <w:b/>
          <w:bCs/>
          <w:color w:val="4A4949"/>
          <w:sz w:val="23"/>
          <w:szCs w:val="23"/>
          <w:lang w:eastAsia="cs-CZ"/>
        </w:rPr>
        <w:t>Osvojení zletilého je významné především z hlediska dědění, kdy osvojenec dědí v první zákonné třídě dědiců a zároveň nevstupuje v dědické právo osvojitele vůči jiným osobám.</w:t>
      </w:r>
    </w:p>
    <w:p w:rsidR="003F3045" w:rsidRPr="003F3045" w:rsidRDefault="003F3045" w:rsidP="003F3045">
      <w:pPr>
        <w:shd w:val="clear" w:color="auto" w:fill="FBFBFB"/>
        <w:spacing w:before="180" w:after="0" w:line="315" w:lineRule="atLeast"/>
        <w:rPr>
          <w:rFonts w:ascii="proxima-nova" w:eastAsia="Times New Roman" w:hAnsi="proxima-nova" w:cs="Times New Roman"/>
          <w:color w:val="4A4949"/>
          <w:sz w:val="23"/>
          <w:szCs w:val="23"/>
          <w:lang w:eastAsia="cs-CZ"/>
        </w:rPr>
      </w:pPr>
      <w:r w:rsidRPr="003F3045">
        <w:rPr>
          <w:rFonts w:ascii="proxima-nova" w:eastAsia="Times New Roman" w:hAnsi="proxima-nova" w:cs="Times New Roman"/>
          <w:color w:val="4A4949"/>
          <w:sz w:val="23"/>
          <w:szCs w:val="23"/>
          <w:lang w:eastAsia="cs-CZ"/>
        </w:rPr>
        <w:t xml:space="preserve">O osvojení rozhodne (§ 796 odst. 2 NOZ) soud na návrh osoby, která chce zletilého osvojit. K návrhu se zletilý připojí. Osvojení má právní následky pro osvojencovy </w:t>
      </w:r>
      <w:proofErr w:type="gramStart"/>
      <w:r w:rsidRPr="003F3045">
        <w:rPr>
          <w:rFonts w:ascii="proxima-nova" w:eastAsia="Times New Roman" w:hAnsi="proxima-nova" w:cs="Times New Roman"/>
          <w:color w:val="4A4949"/>
          <w:sz w:val="23"/>
          <w:szCs w:val="23"/>
          <w:lang w:eastAsia="cs-CZ"/>
        </w:rPr>
        <w:t>potomky jen</w:t>
      </w:r>
      <w:proofErr w:type="gramEnd"/>
      <w:r w:rsidRPr="003F3045">
        <w:rPr>
          <w:rFonts w:ascii="proxima-nova" w:eastAsia="Times New Roman" w:hAnsi="proxima-nova" w:cs="Times New Roman"/>
          <w:color w:val="4A4949"/>
          <w:sz w:val="23"/>
          <w:szCs w:val="23"/>
          <w:lang w:eastAsia="cs-CZ"/>
        </w:rPr>
        <w:t xml:space="preserve"> pokud se narodili později.</w:t>
      </w:r>
    </w:p>
    <w:p w:rsidR="003F3045" w:rsidRPr="003F3045" w:rsidRDefault="003F3045" w:rsidP="003F3045">
      <w:pPr>
        <w:shd w:val="clear" w:color="auto" w:fill="FBFBFB"/>
        <w:spacing w:before="180" w:after="0" w:line="315" w:lineRule="atLeast"/>
        <w:rPr>
          <w:rFonts w:ascii="proxima-nova" w:eastAsia="Times New Roman" w:hAnsi="proxima-nova" w:cs="Times New Roman"/>
          <w:color w:val="4A4949"/>
          <w:sz w:val="23"/>
          <w:szCs w:val="23"/>
          <w:lang w:eastAsia="cs-CZ"/>
        </w:rPr>
      </w:pPr>
      <w:r w:rsidRPr="003F3045">
        <w:rPr>
          <w:rFonts w:ascii="proxima-nova" w:eastAsia="Times New Roman" w:hAnsi="proxima-nova" w:cs="Times New Roman"/>
          <w:color w:val="4A4949"/>
          <w:sz w:val="23"/>
          <w:szCs w:val="23"/>
          <w:lang w:eastAsia="cs-CZ"/>
        </w:rPr>
        <w:t>Osvojenec si ponechává své dosavadní příjmení, ale se souhlasem osvojitele může k svému příjmení připojit i příjmení osvojitele.</w:t>
      </w:r>
    </w:p>
    <w:p w:rsidR="003F3045" w:rsidRPr="003F3045" w:rsidRDefault="003F3045" w:rsidP="003F3045">
      <w:pPr>
        <w:shd w:val="clear" w:color="auto" w:fill="FBFBFB"/>
        <w:spacing w:before="180" w:after="0" w:line="315" w:lineRule="atLeast"/>
        <w:rPr>
          <w:rFonts w:ascii="proxima-nova" w:eastAsia="Times New Roman" w:hAnsi="proxima-nova" w:cs="Times New Roman"/>
          <w:color w:val="4A4949"/>
          <w:sz w:val="23"/>
          <w:szCs w:val="23"/>
          <w:lang w:eastAsia="cs-CZ"/>
        </w:rPr>
      </w:pPr>
      <w:r w:rsidRPr="003F3045">
        <w:rPr>
          <w:rFonts w:ascii="proxima-nova" w:eastAsia="Times New Roman" w:hAnsi="proxima-nova" w:cs="Times New Roman"/>
          <w:color w:val="4A4949"/>
          <w:sz w:val="23"/>
          <w:szCs w:val="23"/>
          <w:lang w:eastAsia="cs-CZ"/>
        </w:rPr>
        <w:t>Má-li již osvojenec nebo osvojitel připojované příjmení, nemůže dojít připojením příjmení na základě osvojení k jeho ztrojení.</w:t>
      </w:r>
    </w:p>
    <w:tbl>
      <w:tblPr>
        <w:tblW w:w="0" w:type="auto"/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32"/>
        <w:gridCol w:w="6140"/>
      </w:tblGrid>
      <w:tr w:rsidR="003F3045" w:rsidRPr="003F3045" w:rsidTr="003F3045">
        <w:trPr>
          <w:tblHeader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F3045" w:rsidRPr="003F3045" w:rsidRDefault="003F3045" w:rsidP="003F3045">
            <w:pPr>
              <w:spacing w:after="0" w:line="300" w:lineRule="atLeast"/>
              <w:rPr>
                <w:rFonts w:ascii="proxima-nova" w:eastAsia="Times New Roman" w:hAnsi="proxima-nova" w:cs="Times New Roman"/>
                <w:b/>
                <w:bCs/>
                <w:color w:val="4A4949"/>
                <w:sz w:val="23"/>
                <w:szCs w:val="23"/>
                <w:lang w:eastAsia="cs-CZ"/>
              </w:rPr>
            </w:pPr>
            <w:r w:rsidRPr="003F3045">
              <w:rPr>
                <w:rFonts w:ascii="proxima-nova" w:eastAsia="Times New Roman" w:hAnsi="proxima-nova" w:cs="Times New Roman"/>
                <w:b/>
                <w:bCs/>
                <w:color w:val="4A4949"/>
                <w:sz w:val="23"/>
                <w:szCs w:val="23"/>
                <w:lang w:eastAsia="cs-CZ"/>
              </w:rPr>
              <w:t>Osvojení zletilého, které je obdobou osvojení nezletilého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F3045" w:rsidRPr="003F3045" w:rsidRDefault="003F3045" w:rsidP="003F3045">
            <w:pPr>
              <w:spacing w:after="0" w:line="300" w:lineRule="atLeast"/>
              <w:rPr>
                <w:rFonts w:ascii="proxima-nova" w:eastAsia="Times New Roman" w:hAnsi="proxima-nova" w:cs="Times New Roman"/>
                <w:b/>
                <w:bCs/>
                <w:color w:val="4A4949"/>
                <w:sz w:val="23"/>
                <w:szCs w:val="23"/>
                <w:lang w:eastAsia="cs-CZ"/>
              </w:rPr>
            </w:pPr>
            <w:r w:rsidRPr="003F3045">
              <w:rPr>
                <w:rFonts w:ascii="proxima-nova" w:eastAsia="Times New Roman" w:hAnsi="proxima-nova" w:cs="Times New Roman"/>
                <w:b/>
                <w:bCs/>
                <w:color w:val="4A4949"/>
                <w:sz w:val="23"/>
                <w:szCs w:val="23"/>
                <w:lang w:eastAsia="cs-CZ"/>
              </w:rPr>
              <w:t>Osvojení zletilého, které není obdobou osvojení nezletilého</w:t>
            </w:r>
          </w:p>
        </w:tc>
      </w:tr>
      <w:tr w:rsidR="003F3045" w:rsidRPr="003F3045" w:rsidTr="003F304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F3045" w:rsidRPr="003F3045" w:rsidRDefault="003F3045" w:rsidP="003F3045">
            <w:pPr>
              <w:spacing w:after="0" w:line="315" w:lineRule="atLeast"/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</w:pPr>
            <w:r w:rsidRPr="003F3045"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  <w:t>Zletilého lze osvojit, jestliže:</w:t>
            </w:r>
          </w:p>
          <w:p w:rsidR="003F3045" w:rsidRPr="003F3045" w:rsidRDefault="003F3045" w:rsidP="003F3045">
            <w:pPr>
              <w:numPr>
                <w:ilvl w:val="0"/>
                <w:numId w:val="1"/>
              </w:numPr>
              <w:spacing w:before="60" w:after="60" w:line="315" w:lineRule="atLeast"/>
              <w:ind w:left="300"/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</w:pPr>
            <w:r w:rsidRPr="003F3045"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  <w:t>Přirozený sourozenec osvojovaného byl osvojen týmž osvojitelem.</w:t>
            </w:r>
          </w:p>
          <w:p w:rsidR="003F3045" w:rsidRPr="003F3045" w:rsidRDefault="003F3045" w:rsidP="003F3045">
            <w:pPr>
              <w:numPr>
                <w:ilvl w:val="0"/>
                <w:numId w:val="1"/>
              </w:numPr>
              <w:spacing w:before="60" w:after="60" w:line="315" w:lineRule="atLeast"/>
              <w:ind w:left="300"/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</w:pPr>
            <w:r w:rsidRPr="003F3045"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  <w:t>V době podání návrhu na osvojení byl osvojovaný nezletilý.</w:t>
            </w:r>
          </w:p>
          <w:p w:rsidR="003F3045" w:rsidRPr="003F3045" w:rsidRDefault="003F3045" w:rsidP="003F3045">
            <w:pPr>
              <w:numPr>
                <w:ilvl w:val="0"/>
                <w:numId w:val="1"/>
              </w:numPr>
              <w:spacing w:before="60" w:after="60" w:line="315" w:lineRule="atLeast"/>
              <w:ind w:left="300"/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</w:pPr>
            <w:proofErr w:type="spellStart"/>
            <w:r w:rsidRPr="003F3045"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  <w:t>Ovojitel</w:t>
            </w:r>
            <w:proofErr w:type="spellEnd"/>
            <w:r w:rsidRPr="003F3045"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  <w:t xml:space="preserve"> pečoval o osvojovaného jako o vlastního již v době jeho nezletilosti.</w:t>
            </w:r>
          </w:p>
          <w:p w:rsidR="003F3045" w:rsidRPr="003F3045" w:rsidRDefault="003F3045" w:rsidP="003F3045">
            <w:pPr>
              <w:numPr>
                <w:ilvl w:val="0"/>
                <w:numId w:val="1"/>
              </w:numPr>
              <w:spacing w:before="60" w:after="60" w:line="315" w:lineRule="atLeast"/>
              <w:ind w:left="300"/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</w:pPr>
            <w:r w:rsidRPr="003F3045"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  <w:t>Osvojitel hodlá osvojit dítě svého manžela.</w:t>
            </w:r>
          </w:p>
          <w:p w:rsidR="003F3045" w:rsidRPr="003F3045" w:rsidRDefault="00302166" w:rsidP="003F3045">
            <w:pPr>
              <w:shd w:val="clear" w:color="auto" w:fill="E9E9E9"/>
              <w:spacing w:after="0" w:line="330" w:lineRule="atLeast"/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</w:pPr>
            <w:r>
              <w:rPr>
                <w:rFonts w:ascii="proxima-nova" w:eastAsia="Times New Roman" w:hAnsi="proxima-nova" w:cs="Times New Roman"/>
                <w:i/>
                <w:iCs/>
                <w:color w:val="4A4949"/>
                <w:sz w:val="23"/>
                <w:szCs w:val="23"/>
                <w:lang w:eastAsia="cs-CZ"/>
              </w:rPr>
              <w:t>Dříve</w:t>
            </w:r>
            <w:r w:rsidR="003F3045" w:rsidRPr="003F3045">
              <w:rPr>
                <w:rFonts w:ascii="proxima-nova" w:eastAsia="Times New Roman" w:hAnsi="proxima-nova" w:cs="Times New Roman"/>
                <w:i/>
                <w:iCs/>
                <w:color w:val="4A4949"/>
                <w:sz w:val="23"/>
                <w:szCs w:val="23"/>
                <w:lang w:eastAsia="cs-CZ"/>
              </w:rPr>
              <w:t xml:space="preserve"> by mohly být společně osvojeny pouze nezletilé děti, nikoli jejich dospělí sourozenci, což by vedlo k rozdělení rodiny.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F3045" w:rsidRPr="003F3045" w:rsidRDefault="003F3045" w:rsidP="003F3045">
            <w:pPr>
              <w:numPr>
                <w:ilvl w:val="0"/>
                <w:numId w:val="2"/>
              </w:numPr>
              <w:spacing w:before="60" w:after="60" w:line="315" w:lineRule="atLeast"/>
              <w:ind w:left="300"/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</w:pPr>
            <w:r w:rsidRPr="003F3045"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  <w:t>Osvojenci a jeho potomkům nevzniká osvojením příbuzenský poměr vůči členům rodiny osvojitele a nenabývají vůči nim žádných majetkových práv.</w:t>
            </w:r>
          </w:p>
          <w:p w:rsidR="003F3045" w:rsidRPr="003F3045" w:rsidRDefault="003F3045" w:rsidP="003F3045">
            <w:pPr>
              <w:numPr>
                <w:ilvl w:val="0"/>
                <w:numId w:val="2"/>
              </w:numPr>
              <w:spacing w:before="60" w:after="60" w:line="315" w:lineRule="atLeast"/>
              <w:ind w:left="300"/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</w:pPr>
            <w:r w:rsidRPr="003F3045"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  <w:t>Osvojitel osvojením nenabývá vůči osvojenci a jeho potomkům žádných majetkových práv.</w:t>
            </w:r>
          </w:p>
          <w:p w:rsidR="003F3045" w:rsidRPr="003F3045" w:rsidRDefault="003F3045" w:rsidP="003F3045">
            <w:pPr>
              <w:numPr>
                <w:ilvl w:val="0"/>
                <w:numId w:val="2"/>
              </w:numPr>
              <w:spacing w:before="60" w:after="60" w:line="315" w:lineRule="atLeast"/>
              <w:ind w:left="300"/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</w:pPr>
            <w:r w:rsidRPr="003F3045"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  <w:t>Osvojenec (a jeho potomci) osvojením nepozbývá práv ve vlastní rodině.</w:t>
            </w:r>
          </w:p>
          <w:p w:rsidR="003F3045" w:rsidRPr="003F3045" w:rsidRDefault="003F3045" w:rsidP="003F3045">
            <w:pPr>
              <w:spacing w:after="0" w:line="300" w:lineRule="atLeast"/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</w:pPr>
            <w:r w:rsidRPr="003F3045"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  <w:br/>
              <w:t> </w:t>
            </w:r>
          </w:p>
          <w:p w:rsidR="003F3045" w:rsidRPr="003F3045" w:rsidRDefault="003F3045" w:rsidP="003F3045">
            <w:pPr>
              <w:shd w:val="clear" w:color="auto" w:fill="E9E9E9"/>
              <w:spacing w:after="0" w:line="330" w:lineRule="atLeast"/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</w:pPr>
            <w:r w:rsidRPr="003F3045">
              <w:rPr>
                <w:rFonts w:ascii="proxima-nova" w:eastAsia="Times New Roman" w:hAnsi="proxima-nova" w:cs="Times New Roman"/>
                <w:i/>
                <w:iCs/>
                <w:color w:val="4A4949"/>
                <w:sz w:val="23"/>
                <w:szCs w:val="23"/>
                <w:lang w:eastAsia="cs-CZ"/>
              </w:rPr>
              <w:t>K osvojení, které není obdobou osvojení</w:t>
            </w:r>
            <w:r w:rsidR="00302166">
              <w:rPr>
                <w:rFonts w:ascii="proxima-nova" w:eastAsia="Times New Roman" w:hAnsi="proxima-nova" w:cs="Times New Roman"/>
                <w:i/>
                <w:iCs/>
                <w:color w:val="4A4949"/>
                <w:sz w:val="23"/>
                <w:szCs w:val="23"/>
                <w:lang w:eastAsia="cs-CZ"/>
              </w:rPr>
              <w:t>,</w:t>
            </w:r>
            <w:r w:rsidRPr="003F3045">
              <w:rPr>
                <w:rFonts w:ascii="proxima-nova" w:eastAsia="Times New Roman" w:hAnsi="proxima-nova" w:cs="Times New Roman"/>
                <w:i/>
                <w:iCs/>
                <w:color w:val="4A4949"/>
                <w:sz w:val="23"/>
                <w:szCs w:val="23"/>
                <w:lang w:eastAsia="cs-CZ"/>
              </w:rPr>
              <w:t xml:space="preserve"> nezletilého bude docházet výjimečně. Osvojovat si zletilého budou často osoby, které nemají potomky (pokrevní nebo právní), nemají pokračovatele ve svém díle nebo jimž jejich potomci neposkytují náležitou po</w:t>
            </w:r>
            <w:r w:rsidR="00302166">
              <w:rPr>
                <w:rFonts w:ascii="proxima-nova" w:eastAsia="Times New Roman" w:hAnsi="proxima-nova" w:cs="Times New Roman"/>
                <w:i/>
                <w:iCs/>
                <w:color w:val="4A4949"/>
                <w:sz w:val="23"/>
                <w:szCs w:val="23"/>
                <w:lang w:eastAsia="cs-CZ"/>
              </w:rPr>
              <w:t>moc v nemoci nebo ve stáří.</w:t>
            </w:r>
            <w:r w:rsidRPr="003F3045">
              <w:rPr>
                <w:rFonts w:ascii="proxima-nova" w:eastAsia="Times New Roman" w:hAnsi="proxima-nova" w:cs="Times New Roman"/>
                <w:i/>
                <w:iCs/>
                <w:color w:val="4A4949"/>
                <w:sz w:val="23"/>
                <w:szCs w:val="23"/>
                <w:lang w:eastAsia="cs-CZ"/>
              </w:rPr>
              <w:t> </w:t>
            </w:r>
          </w:p>
        </w:tc>
      </w:tr>
    </w:tbl>
    <w:p w:rsidR="00991474" w:rsidRDefault="00991474">
      <w:bookmarkStart w:id="0" w:name="_GoBack"/>
      <w:bookmarkEnd w:id="0"/>
    </w:p>
    <w:sectPr w:rsidR="00991474" w:rsidSect="00B76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roxima-no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05317"/>
    <w:multiLevelType w:val="multilevel"/>
    <w:tmpl w:val="BC4A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B71753"/>
    <w:multiLevelType w:val="multilevel"/>
    <w:tmpl w:val="FCDA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hyphenationZone w:val="425"/>
  <w:characterSpacingControl w:val="doNotCompress"/>
  <w:compat/>
  <w:rsids>
    <w:rsidRoot w:val="003F3045"/>
    <w:rsid w:val="00302166"/>
    <w:rsid w:val="003F3045"/>
    <w:rsid w:val="007D6A68"/>
    <w:rsid w:val="00991474"/>
    <w:rsid w:val="00B76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6C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erex">
    <w:name w:val="perex"/>
    <w:basedOn w:val="Normln"/>
    <w:rsid w:val="003F3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F3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iklad">
    <w:name w:val="priklad"/>
    <w:basedOn w:val="Normln"/>
    <w:rsid w:val="003F3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3F3045"/>
    <w:rPr>
      <w:i/>
      <w:iCs/>
    </w:rPr>
  </w:style>
  <w:style w:type="character" w:customStyle="1" w:styleId="apple-converted-space">
    <w:name w:val="apple-converted-space"/>
    <w:basedOn w:val="Standardnpsmoodstavce"/>
    <w:rsid w:val="003F30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erex">
    <w:name w:val="perex"/>
    <w:basedOn w:val="Normln"/>
    <w:rsid w:val="003F3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F3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iklad">
    <w:name w:val="priklad"/>
    <w:basedOn w:val="Normln"/>
    <w:rsid w:val="003F3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3F3045"/>
    <w:rPr>
      <w:i/>
      <w:iCs/>
    </w:rPr>
  </w:style>
  <w:style w:type="character" w:customStyle="1" w:styleId="apple-converted-space">
    <w:name w:val="apple-converted-space"/>
    <w:basedOn w:val="Standardnpsmoodstavce"/>
    <w:rsid w:val="003F30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7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Hana Pazlarova</cp:lastModifiedBy>
  <cp:revision>3</cp:revision>
  <dcterms:created xsi:type="dcterms:W3CDTF">2017-10-03T09:07:00Z</dcterms:created>
  <dcterms:modified xsi:type="dcterms:W3CDTF">2017-10-03T09:22:00Z</dcterms:modified>
</cp:coreProperties>
</file>