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E1" w:rsidRDefault="00C15027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Jana Molnárová, II. ročník PSP ETF</w:t>
      </w: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C15027">
      <w:pPr>
        <w:pStyle w:val="Standard"/>
        <w:jc w:val="center"/>
        <w:rPr>
          <w:sz w:val="48"/>
          <w:szCs w:val="48"/>
        </w:rPr>
      </w:pPr>
      <w:r>
        <w:rPr>
          <w:sz w:val="48"/>
          <w:szCs w:val="48"/>
        </w:rPr>
        <w:t>Seminární práce</w:t>
      </w:r>
    </w:p>
    <w:p w:rsidR="00B927E1" w:rsidRDefault="00B927E1">
      <w:pPr>
        <w:pStyle w:val="Standard"/>
        <w:jc w:val="center"/>
        <w:rPr>
          <w:sz w:val="36"/>
          <w:szCs w:val="36"/>
        </w:rPr>
      </w:pPr>
    </w:p>
    <w:p w:rsidR="00B927E1" w:rsidRDefault="00C15027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Nealkoholové drogy</w:t>
      </w: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C1502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Vytvořila: Jana Molnárová</w:t>
      </w:r>
    </w:p>
    <w:p w:rsidR="00B927E1" w:rsidRDefault="00C1502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Datum: 18.1. 2016</w:t>
      </w:r>
    </w:p>
    <w:p w:rsidR="00B927E1" w:rsidRDefault="00C1502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Předmět: Rizikové skupiny</w:t>
      </w: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  <w:rPr>
          <w:sz w:val="26"/>
          <w:szCs w:val="26"/>
        </w:rPr>
      </w:pPr>
    </w:p>
    <w:p w:rsidR="00B927E1" w:rsidRDefault="00C15027">
      <w:pPr>
        <w:pStyle w:val="Standard"/>
        <w:rPr>
          <w:b/>
          <w:bCs/>
        </w:rPr>
      </w:pPr>
      <w:r>
        <w:rPr>
          <w:b/>
          <w:bCs/>
          <w:sz w:val="26"/>
          <w:szCs w:val="26"/>
        </w:rPr>
        <w:t>Úvod</w:t>
      </w:r>
    </w:p>
    <w:p w:rsidR="00B927E1" w:rsidRDefault="00B927E1">
      <w:pPr>
        <w:pStyle w:val="Standard"/>
      </w:pPr>
    </w:p>
    <w:p w:rsidR="00B927E1" w:rsidRDefault="00C15027">
      <w:pPr>
        <w:pStyle w:val="Standard"/>
        <w:jc w:val="both"/>
      </w:pPr>
      <w:r>
        <w:t>Toto téma je mi blízké a již delší dobu se o drogovu problematiku zajímám. S tím souvisí i cílová skupina (uživatelé návykových látek), která mi je svým způsobem něčím blízká. Je to jedna z cílových skupin (ještě vedle rizikové mládeže, duševních o</w:t>
      </w:r>
      <w:r>
        <w:t>nemocněních), které bych se chtěla v budoucnu věnovat. Ve své práci se budu snažit vysvětlit pojem závislost a její příčiny,  přístup veřejnosti k těmto látkám. Dále popsat vývoj drogové scény v ČR a následně uvést jednotlivé typy drog a způsoby léčby.</w:t>
      </w: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B927E1">
      <w:pPr>
        <w:pStyle w:val="Standard"/>
      </w:pPr>
    </w:p>
    <w:p w:rsidR="00B927E1" w:rsidRDefault="00C15027">
      <w:pPr>
        <w:pStyle w:val="Standard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Závislost, vulnerabilita, kodependence</w:t>
      </w:r>
    </w:p>
    <w:p w:rsidR="00B927E1" w:rsidRDefault="00B927E1">
      <w:pPr>
        <w:pStyle w:val="Standard"/>
      </w:pPr>
    </w:p>
    <w:p w:rsidR="00B927E1" w:rsidRDefault="00C15027">
      <w:pPr>
        <w:pStyle w:val="Standard"/>
        <w:jc w:val="both"/>
      </w:pPr>
      <w:r>
        <w:t xml:space="preserve">Vymezení pojmu závislost: </w:t>
      </w:r>
      <w:r>
        <w:rPr>
          <w:i/>
          <w:iCs/>
        </w:rPr>
        <w:t>„Závislost lze definovat jako chronickou a progredující poruchu, která se rozvíjí na pozadí přirozené touhy člověka po změně prožívání“</w:t>
      </w:r>
      <w:r>
        <w:t>.</w:t>
      </w:r>
      <w:r>
        <w:rPr>
          <w:rStyle w:val="Znakapoznpodarou"/>
        </w:rPr>
        <w:footnoteReference w:id="1"/>
      </w: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</w:pPr>
      <w:r>
        <w:rPr>
          <w:u w:val="single"/>
        </w:rPr>
        <w:t>Tvrdost drogy</w:t>
      </w:r>
      <w:r>
        <w:t xml:space="preserve"> – je dána intenzitou účinku, prediktabilitou (předpověditelností), rychlostí nástupu</w:t>
      </w:r>
    </w:p>
    <w:p w:rsidR="00B927E1" w:rsidRDefault="00C15027">
      <w:pPr>
        <w:pStyle w:val="Standard"/>
        <w:jc w:val="both"/>
      </w:pPr>
      <w:r>
        <w:t>Tato vlastnost se týká stimulativních nebo opojných (tlumivých) drog</w:t>
      </w: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</w:pPr>
      <w:r>
        <w:t xml:space="preserve">Z psychopatologického hlediska lze hovořit o tzv. </w:t>
      </w:r>
      <w:r>
        <w:rPr>
          <w:u w:val="single"/>
        </w:rPr>
        <w:t>vulnerabilitě</w:t>
      </w:r>
      <w:r>
        <w:t xml:space="preserve"> a dále poruch s tímto spojených. Vul</w:t>
      </w:r>
      <w:r>
        <w:t xml:space="preserve">nerabilita představuje faktory, které se skládají z dispozic ohledně tolerance na návykových látkách, depresivních dispozicích, jiných psychopatologií (ostatní poruchy vzniklé abúzem drog). Jako příklad některé z poruch u drogově závislých můžeme uvést </w:t>
      </w:r>
      <w:r>
        <w:rPr>
          <w:u w:val="single"/>
        </w:rPr>
        <w:t>par</w:t>
      </w:r>
      <w:r>
        <w:rPr>
          <w:u w:val="single"/>
        </w:rPr>
        <w:t>anoidně halucinatorní syndrom</w:t>
      </w:r>
      <w:r>
        <w:t xml:space="preserve"> (stimulancia), </w:t>
      </w:r>
      <w:r>
        <w:rPr>
          <w:u w:val="single"/>
        </w:rPr>
        <w:t>amotivační syndrom</w:t>
      </w:r>
      <w:r>
        <w:t xml:space="preserve"> (marihuna).</w:t>
      </w:r>
    </w:p>
    <w:p w:rsidR="00B927E1" w:rsidRDefault="00C15027">
      <w:pPr>
        <w:pStyle w:val="Standard"/>
        <w:jc w:val="both"/>
      </w:pPr>
      <w:r>
        <w:t>Se závislostí na drogách se často pojí i tzv.</w:t>
      </w:r>
      <w:r>
        <w:rPr>
          <w:color w:val="111111"/>
        </w:rPr>
        <w:t xml:space="preserve"> </w:t>
      </w:r>
      <w:r>
        <w:rPr>
          <w:b/>
          <w:bCs/>
          <w:color w:val="111111"/>
        </w:rPr>
        <w:t>kodependence</w:t>
      </w:r>
      <w:r>
        <w:rPr>
          <w:color w:val="111111"/>
        </w:rPr>
        <w:t>.</w:t>
      </w:r>
      <w:r>
        <w:t xml:space="preserve"> </w:t>
      </w:r>
      <w:r>
        <w:rPr>
          <w:i/>
          <w:iCs/>
        </w:rPr>
        <w:t>„ Kodependence je poruchou ze ztráty sebehodnoty. Projevuje se potížemi psychickými, psychosomatickými, či fyzickými“</w:t>
      </w:r>
      <w:r>
        <w:rPr>
          <w:color w:val="800000"/>
        </w:rPr>
        <w:t>.</w:t>
      </w:r>
      <w:r>
        <w:rPr>
          <w:rStyle w:val="Znakapoznpodarou"/>
        </w:rPr>
        <w:footnoteReference w:id="2"/>
      </w:r>
      <w:r>
        <w:t xml:space="preserve"> </w:t>
      </w:r>
      <w:r>
        <w:rPr>
          <w:rFonts w:eastAsia="Thorndale" w:cs="Thorndale"/>
          <w:color w:val="000000"/>
        </w:rPr>
        <w:t>Původ tohoto pojmu se datuje do období 60. let v USA. V podstatě jde o to,</w:t>
      </w:r>
      <w:r>
        <w:rPr>
          <w:rFonts w:eastAsia="Thorndale" w:cs="Thorndale"/>
          <w:b/>
          <w:bCs/>
          <w:color w:val="000000"/>
        </w:rPr>
        <w:t xml:space="preserve"> že jedinec se vnímá tak, jak</w:t>
      </w:r>
      <w:r>
        <w:rPr>
          <w:rFonts w:eastAsia="Thorndale" w:cs="Thorndale"/>
          <w:b/>
          <w:bCs/>
          <w:color w:val="000000"/>
          <w:u w:val="single"/>
        </w:rPr>
        <w:t xml:space="preserve"> </w:t>
      </w:r>
      <w:r>
        <w:rPr>
          <w:rFonts w:eastAsia="Thorndale" w:cs="Thorndale"/>
          <w:b/>
          <w:bCs/>
          <w:color w:val="000000"/>
        </w:rPr>
        <w:t>jej</w:t>
      </w:r>
      <w:r>
        <w:rPr>
          <w:rFonts w:eastAsia="Thorndale" w:cs="Thorndale"/>
          <w:color w:val="000000"/>
        </w:rPr>
        <w:t xml:space="preserve"> </w:t>
      </w:r>
      <w:r>
        <w:rPr>
          <w:rFonts w:eastAsia="Thorndale" w:cs="Thorndale"/>
          <w:b/>
          <w:bCs/>
          <w:color w:val="000000"/>
        </w:rPr>
        <w:t>vnímá okolí.</w:t>
      </w:r>
      <w:r>
        <w:rPr>
          <w:rFonts w:eastAsia="Thorndale" w:cs="Thorndale"/>
          <w:color w:val="000000"/>
        </w:rPr>
        <w:t xml:space="preserve"> Jedná se o jev příznačný </w:t>
      </w:r>
      <w:r>
        <w:rPr>
          <w:rFonts w:eastAsia="Thorndale" w:cs="Thorndale"/>
          <w:color w:val="000000"/>
          <w:u w:val="single"/>
        </w:rPr>
        <w:t>pro dysfunkční rodiny</w:t>
      </w:r>
      <w:r>
        <w:rPr>
          <w:rFonts w:eastAsia="Thorndale" w:cs="Thorndale"/>
          <w:color w:val="000000"/>
        </w:rPr>
        <w:t>. Dotyčný je přitahován takovými osobami, které mají též dysfunknční rysy chování. Vytvá</w:t>
      </w:r>
      <w:r>
        <w:rPr>
          <w:rFonts w:eastAsia="Thorndale" w:cs="Thorndale"/>
          <w:color w:val="000000"/>
        </w:rPr>
        <w:t>ří si k nim adiktivní (závislostní) vazbu. Kodepedentní člověk se staví do roli oběti, kterou dobrovolně přijímá, a tento stav mu poskytuje dočasnou úlevu.</w:t>
      </w:r>
    </w:p>
    <w:p w:rsidR="00B927E1" w:rsidRDefault="00B927E1">
      <w:pPr>
        <w:pStyle w:val="Standard"/>
        <w:jc w:val="both"/>
        <w:rPr>
          <w:rFonts w:eastAsia="Thorndale" w:cs="Thorndale"/>
          <w:color w:val="000000"/>
        </w:rPr>
      </w:pPr>
    </w:p>
    <w:p w:rsidR="00B927E1" w:rsidRDefault="00B927E1">
      <w:pPr>
        <w:pStyle w:val="Standard"/>
        <w:jc w:val="both"/>
        <w:rPr>
          <w:rFonts w:eastAsia="Thorndale" w:cs="Thorndale"/>
          <w:color w:val="000000"/>
        </w:rPr>
      </w:pPr>
    </w:p>
    <w:p w:rsidR="00B927E1" w:rsidRDefault="00C15027">
      <w:pPr>
        <w:pStyle w:val="Standard"/>
        <w:jc w:val="both"/>
        <w:rPr>
          <w:rFonts w:eastAsia="Thorndale" w:cs="Thorndale"/>
          <w:color w:val="000000"/>
          <w:sz w:val="26"/>
          <w:szCs w:val="26"/>
          <w:u w:val="single"/>
        </w:rPr>
      </w:pPr>
      <w:r>
        <w:rPr>
          <w:rFonts w:eastAsia="Thorndale" w:cs="Thorndale"/>
          <w:color w:val="000000"/>
          <w:sz w:val="26"/>
          <w:szCs w:val="26"/>
          <w:u w:val="single"/>
        </w:rPr>
        <w:t xml:space="preserve">Příčiny </w:t>
      </w:r>
      <w:r>
        <w:rPr>
          <w:rFonts w:eastAsia="Thorndale" w:cs="Thorndale"/>
          <w:color w:val="000000"/>
          <w:sz w:val="26"/>
          <w:szCs w:val="26"/>
          <w:u w:val="single"/>
        </w:rPr>
        <w:t>závislosti</w:t>
      </w:r>
    </w:p>
    <w:p w:rsidR="00B927E1" w:rsidRDefault="00B927E1">
      <w:pPr>
        <w:pStyle w:val="Standard"/>
        <w:jc w:val="both"/>
        <w:rPr>
          <w:rFonts w:eastAsia="Thorndale" w:cs="Thorndale"/>
          <w:color w:val="000000"/>
        </w:rPr>
      </w:pPr>
    </w:p>
    <w:p w:rsidR="00B927E1" w:rsidRDefault="00C15027">
      <w:pPr>
        <w:pStyle w:val="lyt-darkblueLTGliederung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Příčiny závislosti by se měly pojímat komplexně, tzn. za pomoci bio-psycho-socio-spirituálního modelu. Jedná se o soubor biologických, psychologických a spirituál</w:t>
      </w:r>
      <w:r>
        <w:rPr>
          <w:rFonts w:ascii="Times New Roman" w:hAnsi="Times New Roman"/>
          <w:color w:val="000000"/>
          <w:sz w:val="24"/>
          <w:szCs w:val="24"/>
        </w:rPr>
        <w:t>ních faktorů.</w:t>
      </w:r>
    </w:p>
    <w:p w:rsidR="00B927E1" w:rsidRDefault="00C15027">
      <w:pPr>
        <w:pStyle w:val="lyt-darkblueLTGliederung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biologické faktory – problémové těhotenství (matka, užívající drogy)</w:t>
      </w:r>
    </w:p>
    <w:p w:rsidR="00B927E1" w:rsidRDefault="00C15027">
      <w:pPr>
        <w:pStyle w:val="lyt-darkblueLTGliederung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psy</w:t>
      </w:r>
      <w:r>
        <w:rPr>
          <w:rFonts w:ascii="Times New Roman" w:hAnsi="Times New Roman"/>
          <w:color w:val="000000"/>
          <w:sz w:val="24"/>
          <w:szCs w:val="24"/>
        </w:rPr>
        <w:t>chologické faktory – psychické zážitky v prenatálním stadiu</w:t>
      </w:r>
    </w:p>
    <w:p w:rsidR="00B927E1" w:rsidRDefault="00C15027">
      <w:pPr>
        <w:pStyle w:val="lyt-darkblueLTGliederung1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postnatální péče o dítě  </w:t>
      </w:r>
    </w:p>
    <w:p w:rsidR="00B927E1" w:rsidRDefault="00C15027">
      <w:pPr>
        <w:pStyle w:val="lyt-darkblueLTGliederung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sociální úroveň – společenský status rodiny, úroveň sociální zajištěnosti, prostředí, ve kterém se jedinec pohybuje</w:t>
      </w:r>
    </w:p>
    <w:p w:rsidR="00B927E1" w:rsidRDefault="00C15027">
      <w:pPr>
        <w:pStyle w:val="lyt-darkblueLTGliederung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spirituální úroveň – vztah k tomu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co člověka přesahuje,</w:t>
      </w:r>
      <w:r>
        <w:rPr>
          <w:rFonts w:ascii="Times New Roman" w:hAnsi="Times New Roman"/>
          <w:color w:val="000000"/>
          <w:sz w:val="24"/>
          <w:szCs w:val="24"/>
        </w:rPr>
        <w:t xml:space="preserve"> potřeba transcendence</w:t>
      </w:r>
    </w:p>
    <w:p w:rsidR="00B927E1" w:rsidRDefault="00B927E1">
      <w:pPr>
        <w:pStyle w:val="lyt-darkblueLTGliederung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27E1" w:rsidRDefault="00C15027">
      <w:pPr>
        <w:pStyle w:val="lyt-darkblueLTGliederung1"/>
        <w:jc w:val="both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>Přístup společnosti k drogové závislosti</w:t>
      </w:r>
    </w:p>
    <w:p w:rsidR="00B927E1" w:rsidRDefault="00C15027">
      <w:pPr>
        <w:pStyle w:val="lyt-darkblueLTGliederung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 roku 1960 byla závislost pokládána za odborný problém. Existovaly dva zůsoby, jak se společno</w:t>
      </w:r>
      <w:r>
        <w:rPr>
          <w:rFonts w:ascii="Times New Roman" w:hAnsi="Times New Roman"/>
          <w:color w:val="000000"/>
          <w:sz w:val="24"/>
          <w:szCs w:val="24"/>
        </w:rPr>
        <w:t>st s tímto problémem vyrovnávala: represe (potírání) trestné činnosti spojené s drogami anebo léčba závislosti (kvalifikovaní lékaři a psychiatři). V období mezi lety 1960 až 1990 se už závislost v USA  pojímá jako společenský problém. Od roku 1990 již jak</w:t>
      </w:r>
      <w:r>
        <w:rPr>
          <w:rFonts w:ascii="Times New Roman" w:hAnsi="Times New Roman"/>
          <w:color w:val="000000"/>
          <w:sz w:val="24"/>
          <w:szCs w:val="24"/>
        </w:rPr>
        <w:t>o globální problém.</w:t>
      </w:r>
    </w:p>
    <w:p w:rsidR="00B927E1" w:rsidRDefault="00C15027">
      <w:pPr>
        <w:pStyle w:val="lyt-darkblueLTGliederung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Globální problém má úzkou spojitost se vznikem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nezákonného (nelegálního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) trhu s drogami</w:t>
      </w:r>
      <w:r>
        <w:rPr>
          <w:rFonts w:ascii="Times New Roman" w:hAnsi="Times New Roman"/>
          <w:color w:val="000000"/>
          <w:sz w:val="24"/>
          <w:szCs w:val="24"/>
        </w:rPr>
        <w:t xml:space="preserve">. Jako u jiných trhů zde existuje nabídka i poptávka. Přístup drogové politiky ke snižování nabídky a poptávky se nazývá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supply reduction</w:t>
      </w:r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demand reduction</w:t>
      </w:r>
      <w:r>
        <w:rPr>
          <w:rFonts w:ascii="Times New Roman" w:hAnsi="Times New Roman"/>
          <w:color w:val="000000"/>
          <w:sz w:val="24"/>
          <w:szCs w:val="24"/>
        </w:rPr>
        <w:t xml:space="preserve">. Patří sem i tzv.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harm reduction</w:t>
      </w:r>
      <w:r>
        <w:rPr>
          <w:rFonts w:ascii="Times New Roman" w:hAnsi="Times New Roman"/>
          <w:color w:val="000000"/>
          <w:sz w:val="24"/>
          <w:szCs w:val="24"/>
        </w:rPr>
        <w:t xml:space="preserve"> (minimalizace rizik spojených s užíváním návykových látek, konkrétně drog). 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upply reduction</w:t>
      </w:r>
      <w:r>
        <w:rPr>
          <w:rFonts w:ascii="Times New Roman" w:hAnsi="Times New Roman"/>
          <w:color w:val="000000"/>
          <w:sz w:val="24"/>
          <w:szCs w:val="24"/>
        </w:rPr>
        <w:t xml:space="preserve"> se dělí na dvě oblasti,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a to administrativní kontrolu a zákonnou represi.</w:t>
      </w:r>
    </w:p>
    <w:p w:rsidR="00B927E1" w:rsidRDefault="00B927E1">
      <w:pPr>
        <w:pStyle w:val="lyt-darkblueLTGliederung1"/>
        <w:jc w:val="both"/>
        <w:rPr>
          <w:color w:val="000000"/>
          <w:sz w:val="24"/>
          <w:szCs w:val="24"/>
        </w:rPr>
      </w:pPr>
    </w:p>
    <w:p w:rsidR="00B927E1" w:rsidRDefault="00B927E1">
      <w:pPr>
        <w:pStyle w:val="lyt-darkblueLTGliederung1"/>
        <w:jc w:val="both"/>
        <w:rPr>
          <w:color w:val="000000"/>
          <w:sz w:val="24"/>
          <w:szCs w:val="24"/>
        </w:rPr>
      </w:pPr>
    </w:p>
    <w:p w:rsidR="00B927E1" w:rsidRDefault="00B927E1">
      <w:pPr>
        <w:pStyle w:val="lyt-darkblueLTGliederung1"/>
        <w:jc w:val="both"/>
        <w:rPr>
          <w:color w:val="000000"/>
          <w:sz w:val="24"/>
          <w:szCs w:val="24"/>
        </w:rPr>
      </w:pPr>
    </w:p>
    <w:p w:rsidR="00B927E1" w:rsidRDefault="00B927E1">
      <w:pPr>
        <w:pStyle w:val="lyt-darkblueLTGliederung1"/>
        <w:jc w:val="both"/>
        <w:rPr>
          <w:color w:val="000000"/>
          <w:sz w:val="24"/>
          <w:szCs w:val="24"/>
        </w:rPr>
      </w:pPr>
    </w:p>
    <w:p w:rsidR="00B927E1" w:rsidRDefault="00C15027">
      <w:pPr>
        <w:pStyle w:val="lyt-darkblueLTGliederung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Administrativní kontrolou se rozumí zabránění úniku informací o drogách, </w:t>
      </w:r>
      <w:r>
        <w:rPr>
          <w:color w:val="000000"/>
          <w:sz w:val="24"/>
          <w:szCs w:val="24"/>
        </w:rPr>
        <w:t>používaných v medicíně.</w:t>
      </w:r>
    </w:p>
    <w:p w:rsidR="00B927E1" w:rsidRDefault="00C15027">
      <w:pPr>
        <w:pStyle w:val="lyt-darkblueLTGliederung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Zákonná represe je snaha o eliminaci trestné činnosti (oblast produkce, transitu a obchodu)</w:t>
      </w:r>
    </w:p>
    <w:p w:rsidR="00B927E1" w:rsidRDefault="00C15027">
      <w:pPr>
        <w:pStyle w:val="lyt-darkblueLTGliederung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Eradikace zemědělské produkce – vymýcení pěstitelských kultur (u nás zejména opiového máku)</w:t>
      </w:r>
    </w:p>
    <w:p w:rsidR="00B927E1" w:rsidRDefault="00B927E1">
      <w:pPr>
        <w:pStyle w:val="lyt-darkblueLTGliederung1"/>
        <w:rPr>
          <w:color w:val="000000"/>
          <w:sz w:val="24"/>
          <w:szCs w:val="24"/>
        </w:rPr>
      </w:pPr>
    </w:p>
    <w:p w:rsidR="00B927E1" w:rsidRDefault="00C15027">
      <w:pPr>
        <w:pStyle w:val="lyt-darkblueLTGliederung1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Demand reduction</w:t>
      </w:r>
    </w:p>
    <w:p w:rsidR="00B927E1" w:rsidRDefault="00C15027">
      <w:pPr>
        <w:pStyle w:val="lyt-darkblueLTGliederu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Snižování poptávky pak probíhá na několik stupních, a to je oblast </w:t>
      </w:r>
      <w:r>
        <w:rPr>
          <w:color w:val="000000"/>
          <w:sz w:val="24"/>
          <w:szCs w:val="24"/>
          <w:u w:val="single"/>
        </w:rPr>
        <w:t>primární, sekundární a terciární prevence</w:t>
      </w:r>
      <w:r>
        <w:rPr>
          <w:color w:val="000000"/>
          <w:sz w:val="24"/>
          <w:szCs w:val="24"/>
        </w:rPr>
        <w:t>.</w:t>
      </w:r>
    </w:p>
    <w:p w:rsidR="00B927E1" w:rsidRDefault="00B927E1">
      <w:pPr>
        <w:pStyle w:val="lyt-darkblueLTGliederung1"/>
        <w:rPr>
          <w:color w:val="000000"/>
          <w:sz w:val="24"/>
          <w:szCs w:val="24"/>
        </w:rPr>
      </w:pPr>
    </w:p>
    <w:p w:rsidR="00B927E1" w:rsidRDefault="00C15027">
      <w:pPr>
        <w:pStyle w:val="lyt-darkblueLTGliederu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Primární prevence = předcházení užití drogy či prodloužení věku před prvním experimentem</w:t>
      </w:r>
    </w:p>
    <w:p w:rsidR="00B927E1" w:rsidRDefault="00C15027">
      <w:pPr>
        <w:pStyle w:val="lyt-darkblueLTGliederu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Sekundární prevence = uživatelé drog, kteří mají různé problémy díky závislost (včasná intervence, poradenství, léčení)</w:t>
      </w:r>
    </w:p>
    <w:p w:rsidR="00B927E1" w:rsidRDefault="00C15027">
      <w:pPr>
        <w:pStyle w:val="lyt-darkblueLTGliederu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Terciární prevence = patří sem uživatelé, kteří nemají motivaci přestat s braním, většinou jde o osoby, dlouhodobě užívající drogy s řadou problémů tím spojených (prevence rizik), ale také oblast doléčování, sociální rehabilitace, podpora abstinence (</w:t>
      </w:r>
      <w:r>
        <w:rPr>
          <w:color w:val="000000"/>
          <w:sz w:val="24"/>
          <w:szCs w:val="24"/>
        </w:rPr>
        <w:t>to vše u abstinujících osob).</w:t>
      </w:r>
    </w:p>
    <w:p w:rsidR="00B927E1" w:rsidRDefault="00C15027">
      <w:pPr>
        <w:pStyle w:val="lyt-darkblueLTGliederu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terciární prevence patří Harm reduction</w:t>
      </w:r>
    </w:p>
    <w:p w:rsidR="00B927E1" w:rsidRDefault="00C15027">
      <w:pPr>
        <w:pStyle w:val="lyt-darkblueLTGliederung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Harm reduction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= cílovou skupinou jsou uživatelé drog, jež nechtějí přestat s užíváním návykových látek. Tento </w:t>
      </w:r>
      <w:r>
        <w:rPr>
          <w:color w:val="000000"/>
          <w:sz w:val="24"/>
          <w:szCs w:val="24"/>
        </w:rPr>
        <w:t>postup (snižování poptávky po drogách) se uplatňuje prostřednictvím:</w:t>
      </w:r>
    </w:p>
    <w:p w:rsidR="00B927E1" w:rsidRDefault="00C15027">
      <w:pPr>
        <w:pStyle w:val="lyt-darkblueLTGliederu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výměnou jehel a stříkaček</w:t>
      </w:r>
    </w:p>
    <w:p w:rsidR="00B927E1" w:rsidRDefault="00C15027">
      <w:pPr>
        <w:pStyle w:val="lyt-darkblueLTGliederu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distribucí sexuálně ochranných pomůcek</w:t>
      </w:r>
    </w:p>
    <w:p w:rsidR="00B927E1" w:rsidRDefault="00C15027">
      <w:pPr>
        <w:pStyle w:val="lyt-darkblueLTGliederu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zdravotním a sociální pomocí</w:t>
      </w:r>
    </w:p>
    <w:p w:rsidR="00B927E1" w:rsidRDefault="00C15027">
      <w:pPr>
        <w:pStyle w:val="lyt-darkblueLTGliederu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zajištění</w:t>
      </w:r>
      <w:r>
        <w:rPr>
          <w:color w:val="000000"/>
          <w:sz w:val="24"/>
          <w:szCs w:val="24"/>
        </w:rPr>
        <w:t>m přístupu k náhradní či původní látce (substituční programy – např. methadonový substituční program)</w:t>
      </w:r>
    </w:p>
    <w:p w:rsidR="00B927E1" w:rsidRDefault="00B927E1">
      <w:pPr>
        <w:pStyle w:val="lyt-darkblueLTGliederung1"/>
        <w:ind w:left="1134"/>
        <w:jc w:val="both"/>
        <w:rPr>
          <w:color w:val="000000"/>
          <w:sz w:val="24"/>
          <w:szCs w:val="24"/>
        </w:rPr>
      </w:pPr>
    </w:p>
    <w:p w:rsidR="00B927E1" w:rsidRDefault="00C15027">
      <w:pPr>
        <w:pStyle w:val="lyt-darkblueLTGliederung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Harm reduction (HR) má však i své odpůrce. Ti se brání argumentem, že n</w:t>
      </w:r>
      <w:r>
        <w:rPr>
          <w:rFonts w:ascii="Times New Roman" w:hAnsi="Times New Roman"/>
          <w:color w:val="000000"/>
          <w:sz w:val="24"/>
          <w:szCs w:val="24"/>
        </w:rPr>
        <w:t>arkomanům se „vylepšuje prostředí a usnadňuje způsob života na drogách“. Často se poukazuje zejména na výměnný program injekčního materiálu, který závislí dostávají zdarma, pokud odevzdají již použité stříkačky. Někteří apelují na to, že např. lidé s cukro</w:t>
      </w:r>
      <w:r>
        <w:rPr>
          <w:rFonts w:ascii="Times New Roman" w:hAnsi="Times New Roman"/>
          <w:color w:val="000000"/>
          <w:sz w:val="24"/>
          <w:szCs w:val="24"/>
        </w:rPr>
        <w:t>vkou či jinak nemocní  si musí kupovat tyto zdravotnické potřeby, a narkomani ne. Je to zapříčiněné množstvím předsudků, neinformovaností a také všeobecnou averzí k uživatelům. Záslužné práce streetworkerů jako je sbírání použitého materiálu, si už ale nik</w:t>
      </w:r>
      <w:r>
        <w:rPr>
          <w:rFonts w:ascii="Times New Roman" w:hAnsi="Times New Roman"/>
          <w:color w:val="000000"/>
          <w:sz w:val="24"/>
          <w:szCs w:val="24"/>
        </w:rPr>
        <w:t>do nevšimne. Jakoby to bylo považováno za cosi samozřejmého.</w:t>
      </w:r>
    </w:p>
    <w:p w:rsidR="00B927E1" w:rsidRDefault="00C15027">
      <w:pPr>
        <w:pStyle w:val="lyt-darkblueLTGliederu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Otázkou také zůstává projekt tzv. šleháren, s cílem vytvořit bezpečné prostředí pro aplikaci drog nejen z důvodu</w:t>
      </w:r>
      <w:r>
        <w:rPr>
          <w:rFonts w:ascii="Times New Roman" w:hAnsi="Times New Roman"/>
          <w:color w:val="000000"/>
          <w:sz w:val="24"/>
          <w:szCs w:val="24"/>
        </w:rPr>
        <w:t xml:space="preserve"> společenského, ale hlavně zdravotního (čisté prostředí, dostupný materiál, větší anonymita uživatelů.</w:t>
      </w:r>
    </w:p>
    <w:p w:rsidR="00B927E1" w:rsidRDefault="00B927E1">
      <w:pPr>
        <w:pStyle w:val="Standard"/>
        <w:jc w:val="both"/>
        <w:rPr>
          <w:sz w:val="26"/>
          <w:szCs w:val="26"/>
          <w:u w:val="single"/>
        </w:rPr>
      </w:pPr>
    </w:p>
    <w:p w:rsidR="00B927E1" w:rsidRDefault="00C15027">
      <w:pPr>
        <w:pStyle w:val="Standard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Vývoj drogové scény v ČR</w:t>
      </w:r>
    </w:p>
    <w:p w:rsidR="00B927E1" w:rsidRDefault="00B927E1">
      <w:pPr>
        <w:pStyle w:val="Standard"/>
        <w:jc w:val="both"/>
        <w:rPr>
          <w:sz w:val="26"/>
          <w:szCs w:val="26"/>
          <w:u w:val="single"/>
        </w:rPr>
      </w:pPr>
    </w:p>
    <w:p w:rsidR="00B927E1" w:rsidRDefault="00C15027">
      <w:pPr>
        <w:pStyle w:val="Standard"/>
        <w:jc w:val="both"/>
      </w:pPr>
      <w:r>
        <w:rPr>
          <w:u w:val="single"/>
        </w:rPr>
        <w:t>Před rokem 1990</w:t>
      </w:r>
      <w:r>
        <w:t xml:space="preserve"> byla hlavním zdrojem drog </w:t>
      </w:r>
      <w:r>
        <w:rPr>
          <w:u w:val="single"/>
        </w:rPr>
        <w:t>domácí produkce</w:t>
      </w:r>
      <w:r>
        <w:t>. Zahrnovala drogy jako je marihuana, výroba braunu (opiát) a pervitinu (chemicky metamfetamin, stimulující látka). Drogová scéna měla specifické rysy, jakým byla např. jistá uzavřenost, menší skupinky uživatelů, k</w:t>
      </w:r>
      <w:r>
        <w:t>teří se navzájem znali. Nebyl ani vytvořen klasický trh s nabídkou a poptávkou, jako je tomu dnes. V některých oblastech tento model stále ještě existuje, ale jedná se pouze o menší města nebo vesnice.</w:t>
      </w: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</w:pPr>
      <w:r>
        <w:t xml:space="preserve">V letech mezi </w:t>
      </w:r>
      <w:r>
        <w:rPr>
          <w:u w:val="single"/>
        </w:rPr>
        <w:t>1990 až 1994</w:t>
      </w:r>
      <w:r>
        <w:t xml:space="preserve"> je stále v popředí domácí </w:t>
      </w:r>
      <w:r>
        <w:t xml:space="preserve">produkce, ale díky politické situaci a s tím spojeného otevření hranic, začínají proudit do českých zemí i </w:t>
      </w:r>
      <w:r>
        <w:rPr>
          <w:u w:val="single"/>
        </w:rPr>
        <w:t>drogy ze zahraničí</w:t>
      </w:r>
      <w:r>
        <w:t xml:space="preserve">. Nejčastější drogou je heroin. Jedná se o tzv. </w:t>
      </w:r>
      <w:r>
        <w:rPr>
          <w:b/>
          <w:bCs/>
        </w:rPr>
        <w:t>přepad z tranzitu</w:t>
      </w:r>
      <w:r>
        <w:t>, ČR se stává tranzitní zemí. Určitá část drogy vede k uživatelům,</w:t>
      </w:r>
      <w:r>
        <w:t xml:space="preserve"> kteří se podílejí na testování drog a následné distribuci.</w:t>
      </w: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</w:pPr>
      <w:r>
        <w:t xml:space="preserve">Tímto způsobem tak začíná vznikat trh s nabídkou a poptávkou. Objevují se lidé, kteří jsou dealery, a drogová činnost se stává jejich „povoláním“. Narkomani začínají více experimentovat. </w:t>
      </w:r>
      <w:r>
        <w:t>Kriminalita roste, ale zatím není tak znatelně vysoká  jako v dalších následujících letech.</w:t>
      </w: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</w:pPr>
      <w:r>
        <w:t xml:space="preserve">V letech mezi </w:t>
      </w:r>
      <w:r>
        <w:rPr>
          <w:u w:val="single"/>
        </w:rPr>
        <w:t>1994 – 2000</w:t>
      </w:r>
      <w:r>
        <w:t xml:space="preserve"> se zvyšuje počet uživatelů marihuany, a na scénu přicházejí </w:t>
      </w:r>
      <w:r>
        <w:rPr>
          <w:u w:val="single"/>
        </w:rPr>
        <w:t>taneční</w:t>
      </w:r>
      <w:r>
        <w:t xml:space="preserve"> </w:t>
      </w:r>
      <w:r>
        <w:rPr>
          <w:u w:val="single"/>
        </w:rPr>
        <w:t xml:space="preserve">drogy (extáze) </w:t>
      </w:r>
      <w:r>
        <w:t xml:space="preserve">a jiných drog příznačných </w:t>
      </w:r>
      <w:r>
        <w:rPr>
          <w:u w:val="single"/>
        </w:rPr>
        <w:t>pro technoscénu</w:t>
      </w:r>
      <w:r>
        <w:t>. Objevuje s</w:t>
      </w:r>
      <w:r>
        <w:t>e i jiný typ aplikace drogy než injekční, a to šňupání, kouření, inhalace.</w:t>
      </w: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Protidrogová politika</w:t>
      </w:r>
    </w:p>
    <w:p w:rsidR="00B927E1" w:rsidRDefault="00C15027">
      <w:pPr>
        <w:pStyle w:val="Standard"/>
        <w:jc w:val="both"/>
      </w:pPr>
      <w:r>
        <w:t xml:space="preserve">Ve druhé polovině 90. let byl přijat zákon </w:t>
      </w:r>
      <w:r>
        <w:rPr>
          <w:b/>
          <w:bCs/>
        </w:rPr>
        <w:t>č. 61/1996 Sb.,</w:t>
      </w:r>
      <w:r>
        <w:t xml:space="preserve"> proti legalizaci výnosů z trestné činnosti („praní špinavých peněz“), dále pak zákon o návykových l</w:t>
      </w:r>
      <w:r>
        <w:t xml:space="preserve">átkách </w:t>
      </w:r>
      <w:r>
        <w:rPr>
          <w:b/>
          <w:bCs/>
        </w:rPr>
        <w:t>č. 167/1998</w:t>
      </w:r>
      <w:r>
        <w:t xml:space="preserve">. Protidrogová politika   je složena ze čtyř pilířů, a tím je: </w:t>
      </w:r>
      <w:r>
        <w:rPr>
          <w:u w:val="single"/>
        </w:rPr>
        <w:t>primární prevence, harm reduction, léčba a resocializace, represe</w:t>
      </w:r>
      <w:r>
        <w:t>. Do primární prevence patří aktivity zaměřené na prevenci, např. oddálení prvního kontaktu s drogou (u dětí a</w:t>
      </w:r>
      <w:r>
        <w:t xml:space="preserve"> mladistvých). O harm reduction jsme si již řekli v úvodu. Léčbou a resocializací je myšleno spektrum programů, které jsou určeny k léčbě závislého. Represí pak není nic jiného než soubor zákonných opatření, která vedou k potlačování nabídky drog.</w:t>
      </w:r>
    </w:p>
    <w:p w:rsidR="00B927E1" w:rsidRDefault="00B927E1">
      <w:pPr>
        <w:pStyle w:val="Standard"/>
        <w:rPr>
          <w:u w:val="single"/>
        </w:rPr>
      </w:pPr>
    </w:p>
    <w:p w:rsidR="00B927E1" w:rsidRDefault="00C15027">
      <w:pPr>
        <w:pStyle w:val="Standard"/>
        <w:rPr>
          <w:u w:val="single"/>
        </w:rPr>
      </w:pPr>
      <w:r>
        <w:rPr>
          <w:u w:val="single"/>
        </w:rPr>
        <w:t>Dělení</w:t>
      </w:r>
      <w:r>
        <w:rPr>
          <w:u w:val="single"/>
        </w:rPr>
        <w:t xml:space="preserve"> drog</w:t>
      </w:r>
    </w:p>
    <w:p w:rsidR="00B927E1" w:rsidRDefault="00C15027">
      <w:pPr>
        <w:pStyle w:val="Standard"/>
      </w:pPr>
      <w:r>
        <w:t>a) opioidy a opiáty (heroin, braun, metadon, injekčně zneužívané drogy Subutex, Suboxon,</w:t>
      </w:r>
    </w:p>
    <w:p w:rsidR="00B927E1" w:rsidRDefault="00B927E1">
      <w:pPr>
        <w:pStyle w:val="Standard"/>
      </w:pPr>
    </w:p>
    <w:p w:rsidR="00B927E1" w:rsidRDefault="00C15027">
      <w:pPr>
        <w:pStyle w:val="Standard"/>
      </w:pPr>
      <w:r>
        <w:t>b) stimulancia (kokain, pervitin a skupina budivých aminů)</w:t>
      </w:r>
    </w:p>
    <w:p w:rsidR="00B927E1" w:rsidRDefault="00B927E1">
      <w:pPr>
        <w:pStyle w:val="Standard"/>
      </w:pPr>
    </w:p>
    <w:p w:rsidR="00B927E1" w:rsidRDefault="00C15027">
      <w:pPr>
        <w:pStyle w:val="Standard"/>
      </w:pPr>
      <w:r>
        <w:t>c) halucinogeny (LSD, psilocybin,</w:t>
      </w:r>
    </w:p>
    <w:p w:rsidR="00B927E1" w:rsidRDefault="00B927E1">
      <w:pPr>
        <w:pStyle w:val="Standard"/>
      </w:pPr>
    </w:p>
    <w:p w:rsidR="00B927E1" w:rsidRDefault="00C15027">
      <w:pPr>
        <w:pStyle w:val="Standard"/>
      </w:pPr>
      <w:r>
        <w:t>d) konopné drogy (marihuana, hašiš,</w:t>
      </w:r>
    </w:p>
    <w:p w:rsidR="00B927E1" w:rsidRDefault="00B927E1">
      <w:pPr>
        <w:pStyle w:val="Standard"/>
      </w:pPr>
    </w:p>
    <w:p w:rsidR="00B927E1" w:rsidRDefault="00C15027">
      <w:pPr>
        <w:pStyle w:val="Standard"/>
      </w:pPr>
      <w:r>
        <w:t xml:space="preserve">e) analgetika, sedativa a </w:t>
      </w:r>
      <w:r>
        <w:t>trankvilizéry (morfin, codein, tramal, pheneamal, rohypnol, nitrazepam, tisercin, mepromabat, diazepam, valium, oxazepam, neurol, lexaurin, aj.)</w:t>
      </w:r>
    </w:p>
    <w:p w:rsidR="00B927E1" w:rsidRDefault="00B927E1">
      <w:pPr>
        <w:pStyle w:val="Standard"/>
      </w:pPr>
    </w:p>
    <w:p w:rsidR="00B927E1" w:rsidRDefault="00C15027">
      <w:pPr>
        <w:pStyle w:val="Standard"/>
      </w:pPr>
      <w:r>
        <w:t>f) těkavé látky (toluen, trichlorethylen, aceton, éter, benzin, rajský plyn)</w:t>
      </w:r>
    </w:p>
    <w:p w:rsidR="00B927E1" w:rsidRDefault="00B927E1">
      <w:pPr>
        <w:pStyle w:val="Standard"/>
      </w:pPr>
    </w:p>
    <w:p w:rsidR="00B927E1" w:rsidRDefault="00C15027">
      <w:pPr>
        <w:pStyle w:val="Standard"/>
      </w:pPr>
      <w:r>
        <w:t xml:space="preserve">g)  MDMA  a drogy příznačné pro </w:t>
      </w:r>
      <w:r>
        <w:t>technoscénu (MDMA, Extáze, Ketamin, Fenylcyklidin (také jinak Andělský prach)</w:t>
      </w:r>
    </w:p>
    <w:p w:rsidR="00B927E1" w:rsidRDefault="00B927E1">
      <w:pPr>
        <w:pStyle w:val="Standard"/>
      </w:pPr>
    </w:p>
    <w:p w:rsidR="00B927E1" w:rsidRDefault="00C15027">
      <w:pPr>
        <w:pStyle w:val="Standard"/>
      </w:pPr>
      <w:r>
        <w:t>h) nové syntetické drogy – (FUNKY, MAGICO, DMT, AMT)</w:t>
      </w:r>
    </w:p>
    <w:p w:rsidR="00B927E1" w:rsidRDefault="00B927E1">
      <w:pPr>
        <w:pStyle w:val="Standard"/>
      </w:pPr>
    </w:p>
    <w:p w:rsidR="00B927E1" w:rsidRDefault="00B927E1">
      <w:pPr>
        <w:pStyle w:val="Standard"/>
        <w:rPr>
          <w:sz w:val="26"/>
          <w:szCs w:val="26"/>
          <w:u w:val="single"/>
        </w:rPr>
      </w:pPr>
    </w:p>
    <w:p w:rsidR="00B927E1" w:rsidRDefault="00C15027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Opiáty</w:t>
      </w:r>
    </w:p>
    <w:p w:rsidR="00B927E1" w:rsidRDefault="00B927E1">
      <w:pPr>
        <w:pStyle w:val="Standard"/>
      </w:pPr>
    </w:p>
    <w:p w:rsidR="00B927E1" w:rsidRDefault="00C15027">
      <w:pPr>
        <w:pStyle w:val="Standard"/>
        <w:jc w:val="both"/>
      </w:pPr>
      <w:r>
        <w:rPr>
          <w:u w:val="single"/>
        </w:rPr>
        <w:t>Heroin</w:t>
      </w:r>
      <w:r>
        <w:t xml:space="preserve"> – poprvé v roce </w:t>
      </w:r>
      <w:r>
        <w:rPr>
          <w:b/>
          <w:bCs/>
        </w:rPr>
        <w:t>1874</w:t>
      </w:r>
      <w:r>
        <w:t>, užíván zprvu jako lék proti zmírnění bolestí  pod názvem morfin.</w:t>
      </w:r>
    </w:p>
    <w:p w:rsidR="00B927E1" w:rsidRDefault="00C15027">
      <w:pPr>
        <w:pStyle w:val="Standard"/>
        <w:jc w:val="both"/>
      </w:pPr>
      <w:r>
        <w:t>účinky – tlumivé, útlum dýchacího centra, zvracení (po aplikaci), snížení tělesné teploty, stažení zornic, potlačení psychické a emoční bolesti, dysforie, špatná konce</w:t>
      </w:r>
      <w:r>
        <w:t>ntrace.</w:t>
      </w:r>
    </w:p>
    <w:p w:rsidR="00B927E1" w:rsidRDefault="00C15027">
      <w:pPr>
        <w:pStyle w:val="Standard"/>
        <w:jc w:val="both"/>
      </w:pPr>
      <w:r>
        <w:t>Po určitém čase užívání je typické pro heroin zvyšování tolerance (podobně jako u alkoholu). Závislost vzniká od jednoho až do tří měsíců po požití.</w:t>
      </w:r>
    </w:p>
    <w:p w:rsidR="00B927E1" w:rsidRDefault="00C15027">
      <w:pPr>
        <w:pStyle w:val="Standard"/>
        <w:jc w:val="both"/>
      </w:pPr>
      <w:r>
        <w:rPr>
          <w:u w:val="single"/>
        </w:rPr>
        <w:t>Chronický abúzus</w:t>
      </w:r>
      <w:r>
        <w:t xml:space="preserve"> – depresivní stavy, ztráta libida a potence, nespavost, podrážděnost, únava, apati</w:t>
      </w:r>
      <w:r>
        <w:t>e, extrémní vyhlubost (kachexie), nebezpečí předávkování</w:t>
      </w:r>
    </w:p>
    <w:p w:rsidR="00B927E1" w:rsidRDefault="00C15027">
      <w:pPr>
        <w:pStyle w:val="Standard"/>
        <w:jc w:val="both"/>
      </w:pPr>
      <w:r>
        <w:rPr>
          <w:u w:val="single"/>
        </w:rPr>
        <w:t xml:space="preserve">Odvykací syndrom </w:t>
      </w:r>
      <w:r>
        <w:t>– bolest břicha, průjmy, úzkosti, nespavost, vzácně kolaps a úmrtí</w:t>
      </w: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</w:pPr>
      <w:r>
        <w:rPr>
          <w:u w:val="single"/>
        </w:rPr>
        <w:t xml:space="preserve">Léčba odvykacího stavu </w:t>
      </w:r>
      <w:r>
        <w:t>– nejlépe na specializovaném pracovišti (detox), převedení na jinou látku (buprenorfin,</w:t>
      </w:r>
      <w:r>
        <w:t xml:space="preserve"> metadon, ethylmorfin, antidota). Jedná se o nejzávažnější a nejkomplikovanější druh léčby.</w:t>
      </w: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</w:pPr>
      <w:r>
        <w:rPr>
          <w:u w:val="single"/>
        </w:rPr>
        <w:t>Braun</w:t>
      </w:r>
      <w:r>
        <w:t xml:space="preserve"> – směs derivátů kodeinu, jedná se o specifickou českou drogu, aplikace nitrožilně. Nyní zcela vytlačen z trhu, výskyt pouze při nedostatku heroinu</w:t>
      </w: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</w:pPr>
      <w:r>
        <w:rPr>
          <w:u w:val="single"/>
        </w:rPr>
        <w:t xml:space="preserve">Metadon </w:t>
      </w:r>
      <w:r>
        <w:rPr>
          <w:u w:val="single"/>
        </w:rPr>
        <w:t>–</w:t>
      </w:r>
      <w:r>
        <w:t xml:space="preserve"> syntetický opioid, působí až 25 hodin, aplikace injekčně nebo ústy (perorálně)</w:t>
      </w:r>
    </w:p>
    <w:p w:rsidR="00B927E1" w:rsidRDefault="00C15027">
      <w:pPr>
        <w:pStyle w:val="Standard"/>
        <w:jc w:val="both"/>
      </w:pPr>
      <w:r>
        <w:t>Používá se při substituci u heroinu, jednou denně, časté zneužívání podobně jako subutex (černý trh s těmito látkami)</w:t>
      </w: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Stimulancia</w:t>
      </w:r>
    </w:p>
    <w:p w:rsidR="00B927E1" w:rsidRDefault="00C15027">
      <w:pPr>
        <w:pStyle w:val="Standard"/>
        <w:jc w:val="both"/>
        <w:rPr>
          <w:sz w:val="26"/>
          <w:szCs w:val="26"/>
        </w:rPr>
      </w:pPr>
      <w:r>
        <w:rPr>
          <w:u w:val="single"/>
        </w:rPr>
        <w:t>Pervitin</w:t>
      </w:r>
    </w:p>
    <w:p w:rsidR="00B927E1" w:rsidRDefault="00C15027">
      <w:pPr>
        <w:pStyle w:val="Standard"/>
        <w:jc w:val="both"/>
      </w:pPr>
      <w:r>
        <w:t>účinky – zvýšení psychomotorickéh</w:t>
      </w:r>
      <w:r>
        <w:t>o tempa a bdělosti, urychlení myšlení (výkonnější aktivita mozku) ovšem na úkor přesnosti, člověk nemá potřebu jíst a spát, pocity euforie a energie, zvýšení vlastních schopností, nárůst (až nebezpečně vysokého, zdraví ohrožujícího) sebevědomí</w:t>
      </w:r>
    </w:p>
    <w:p w:rsidR="00B927E1" w:rsidRDefault="00C15027">
      <w:pPr>
        <w:pStyle w:val="Standard"/>
        <w:jc w:val="both"/>
      </w:pPr>
      <w:r>
        <w:t>Vzniká psych</w:t>
      </w:r>
      <w:r>
        <w:t>ická závislost, ale fyzická zde není (na rozdíl od heroinu). Po skončení účinků, nastává tzv. dojezd nebo-li kocovina, kdy jedinec pociťuje silně spánkový deficit, konzumuje nepřiměřeně velkého množství jídla, má silné deprese, nebezpečná je kombinace zejm</w:t>
      </w:r>
      <w:r>
        <w:t>éna s léky proti depresím (MAO inhibitory)</w:t>
      </w:r>
    </w:p>
    <w:p w:rsidR="00B927E1" w:rsidRDefault="00C15027">
      <w:pPr>
        <w:pStyle w:val="Standard"/>
        <w:jc w:val="both"/>
      </w:pPr>
      <w:r>
        <w:rPr>
          <w:u w:val="single"/>
        </w:rPr>
        <w:t>Chronický abúzus</w:t>
      </w:r>
      <w:r>
        <w:t xml:space="preserve"> – vznik psychické závislosti, stavy vyhublosti (mnohdy až extrémní snížení váhy), objevují se často toxické psychózy.</w:t>
      </w:r>
    </w:p>
    <w:p w:rsidR="00B927E1" w:rsidRDefault="00C15027">
      <w:pPr>
        <w:pStyle w:val="Standard"/>
        <w:jc w:val="both"/>
      </w:pPr>
      <w:r>
        <w:rPr>
          <w:b/>
          <w:bCs/>
        </w:rPr>
        <w:t xml:space="preserve">Toxická psychóza </w:t>
      </w:r>
      <w:r>
        <w:t xml:space="preserve">= mnohdy se těžko rozlišuje od schizofrenie. </w:t>
      </w:r>
      <w:r>
        <w:rPr>
          <w:i/>
          <w:iCs/>
        </w:rPr>
        <w:t xml:space="preserve">„Při </w:t>
      </w:r>
      <w:r>
        <w:rPr>
          <w:i/>
          <w:iCs/>
        </w:rPr>
        <w:t>dlouhodobém užívání se vývoj podobá funkčním paranoidním symptomům“</w:t>
      </w:r>
      <w:r>
        <w:t>.</w:t>
      </w:r>
      <w:r>
        <w:rPr>
          <w:rStyle w:val="Znakapoznpodarou"/>
        </w:rPr>
        <w:footnoteReference w:id="3"/>
      </w:r>
      <w:r>
        <w:t xml:space="preserve"> Příznakem jsou zřetelné paranoidní domněnky (tzv. stíha), změněná nálada, zrakové, sluchové a taktilní halucinace, agresivní tendence.</w:t>
      </w:r>
    </w:p>
    <w:p w:rsidR="00B927E1" w:rsidRDefault="00C15027">
      <w:pPr>
        <w:pStyle w:val="Standard"/>
        <w:jc w:val="both"/>
      </w:pPr>
      <w:r>
        <w:rPr>
          <w:u w:val="single"/>
        </w:rPr>
        <w:t>Léčba</w:t>
      </w:r>
      <w:r>
        <w:t xml:space="preserve"> – po odez</w:t>
      </w:r>
      <w:r>
        <w:t>nění odvykacích příznaků (víceméně psychického rázu) je možná ústavní nebo ambulantní léčba, rezidenční léčba v terapeutických komunitách. Substituční léčba zatím neexistuje (oproti heroinové závislosti).</w:t>
      </w: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Halucinogeny</w:t>
      </w:r>
    </w:p>
    <w:p w:rsidR="00B927E1" w:rsidRDefault="00C15027">
      <w:pPr>
        <w:pStyle w:val="Standard"/>
        <w:rPr>
          <w:u w:val="single"/>
        </w:rPr>
      </w:pPr>
      <w:r>
        <w:rPr>
          <w:u w:val="single"/>
        </w:rPr>
        <w:t>LSD</w:t>
      </w:r>
    </w:p>
    <w:p w:rsidR="00B927E1" w:rsidRDefault="00C15027">
      <w:pPr>
        <w:pStyle w:val="Standard"/>
      </w:pPr>
      <w:r>
        <w:t xml:space="preserve">účinky – pocity závratě, </w:t>
      </w:r>
      <w:r>
        <w:t>nevolnosti,extatický stav, schopnost empatie nebo naopak odcizení (derealizace), odosobnění (depersonalizace), nebezpečí intenzivních halucinací při vyšších dávkách tzv. bad tripu, kdy jedinec nemá možnost ovlivnit nepříjemný stav svou vůlí.</w:t>
      </w:r>
    </w:p>
    <w:p w:rsidR="00B927E1" w:rsidRDefault="00C15027">
      <w:pPr>
        <w:pStyle w:val="Standard"/>
        <w:jc w:val="both"/>
      </w:pPr>
      <w:r>
        <w:rPr>
          <w:u w:val="single"/>
        </w:rPr>
        <w:t>Léčba</w:t>
      </w:r>
      <w:r>
        <w:t xml:space="preserve"> – není z</w:t>
      </w:r>
      <w:r>
        <w:t>atím zaveden odborný postup, doporučuje se buď poradenství (intervence) nebo  krátkodobý pobyt v psych. léčebně, při výskytu závažnějšího psych. onemocnění možný i dlouhodobý pobyt v PL.</w:t>
      </w:r>
    </w:p>
    <w:p w:rsidR="00B927E1" w:rsidRDefault="00B927E1">
      <w:pPr>
        <w:pStyle w:val="Standard"/>
        <w:jc w:val="both"/>
        <w:rPr>
          <w:u w:val="single"/>
        </w:rPr>
      </w:pPr>
    </w:p>
    <w:p w:rsidR="00B927E1" w:rsidRDefault="00C15027">
      <w:pPr>
        <w:pStyle w:val="Standard"/>
        <w:jc w:val="both"/>
        <w:rPr>
          <w:u w:val="single"/>
        </w:rPr>
      </w:pPr>
      <w:r>
        <w:rPr>
          <w:u w:val="single"/>
        </w:rPr>
        <w:t>Psilocybin</w:t>
      </w:r>
    </w:p>
    <w:p w:rsidR="00B927E1" w:rsidRDefault="00C15027">
      <w:pPr>
        <w:pStyle w:val="Standard"/>
        <w:jc w:val="both"/>
      </w:pPr>
      <w:r>
        <w:t xml:space="preserve">Vyskytuje se v lysohlávkách (druh houby), jde o nejvíce </w:t>
      </w:r>
      <w:r>
        <w:t>používanou halucin. látku v ČR. Jde o sezónní doplňkovou drogu, bývá spojována s různými typy subkultur. Užívá se perorálně. Nevýhodou je nemožnost odhadnout sílu účinků (časté akutní intoxikace).</w:t>
      </w:r>
    </w:p>
    <w:p w:rsidR="00B927E1" w:rsidRDefault="00C15027">
      <w:pPr>
        <w:pStyle w:val="Standard"/>
        <w:jc w:val="both"/>
      </w:pPr>
      <w:r>
        <w:t>účinky – vesměs podobné jako u LSD</w:t>
      </w: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  <w:rPr>
          <w:b/>
          <w:bCs/>
          <w:sz w:val="26"/>
          <w:szCs w:val="26"/>
        </w:rPr>
      </w:pPr>
    </w:p>
    <w:p w:rsidR="00B927E1" w:rsidRDefault="00B927E1">
      <w:pPr>
        <w:pStyle w:val="Standard"/>
        <w:jc w:val="both"/>
        <w:rPr>
          <w:b/>
          <w:bCs/>
          <w:sz w:val="26"/>
          <w:szCs w:val="26"/>
        </w:rPr>
      </w:pPr>
    </w:p>
    <w:p w:rsidR="00B927E1" w:rsidRDefault="00B927E1">
      <w:pPr>
        <w:pStyle w:val="Standard"/>
        <w:jc w:val="both"/>
        <w:rPr>
          <w:b/>
          <w:bCs/>
          <w:sz w:val="26"/>
          <w:szCs w:val="26"/>
        </w:rPr>
      </w:pPr>
    </w:p>
    <w:p w:rsidR="00B927E1" w:rsidRDefault="00B927E1">
      <w:pPr>
        <w:pStyle w:val="Standard"/>
        <w:jc w:val="both"/>
        <w:rPr>
          <w:b/>
          <w:bCs/>
          <w:sz w:val="26"/>
          <w:szCs w:val="26"/>
        </w:rPr>
      </w:pPr>
    </w:p>
    <w:p w:rsidR="00B927E1" w:rsidRDefault="00B927E1">
      <w:pPr>
        <w:pStyle w:val="Standard"/>
        <w:jc w:val="both"/>
        <w:rPr>
          <w:b/>
          <w:bCs/>
          <w:sz w:val="26"/>
          <w:szCs w:val="26"/>
        </w:rPr>
      </w:pPr>
    </w:p>
    <w:p w:rsidR="00B927E1" w:rsidRDefault="00C15027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Konopné drogy</w:t>
      </w:r>
    </w:p>
    <w:p w:rsidR="00B927E1" w:rsidRDefault="00C15027">
      <w:pPr>
        <w:pStyle w:val="Standard"/>
        <w:jc w:val="both"/>
      </w:pPr>
      <w:r>
        <w:rPr>
          <w:u w:val="single"/>
        </w:rPr>
        <w:t>Ma</w:t>
      </w:r>
      <w:r>
        <w:rPr>
          <w:u w:val="single"/>
        </w:rPr>
        <w:t>rihuana</w:t>
      </w:r>
      <w:r>
        <w:t xml:space="preserve"> – první zmínky o této droze již ve staré Číně </w:t>
      </w:r>
      <w:r>
        <w:rPr>
          <w:b/>
          <w:bCs/>
        </w:rPr>
        <w:t>(2 737 př. Kr.</w:t>
      </w:r>
      <w:r>
        <w:t>), obsahuje v sobě 2 až 8% aktivních látek, časté šlechtění doma („indoor“) při umělém osvětlení, tímto způsobem se pak zvyšuje procento aktivních látek v droze (až o 20%).</w:t>
      </w:r>
    </w:p>
    <w:p w:rsidR="00B927E1" w:rsidRDefault="00C15027">
      <w:pPr>
        <w:pStyle w:val="Standard"/>
        <w:jc w:val="both"/>
      </w:pPr>
      <w:r>
        <w:rPr>
          <w:sz w:val="26"/>
          <w:szCs w:val="26"/>
        </w:rPr>
        <w:t>účinky</w:t>
      </w:r>
      <w:r>
        <w:t xml:space="preserve"> – nástup</w:t>
      </w:r>
      <w:r>
        <w:t xml:space="preserve"> už po několika sekundách až minutách, sucho v ústech, jemný pocit chladu a hlad, problém zorientovat se v čase, lehká euforie, agresivní chování, depresivní a úzkostné stavy</w:t>
      </w:r>
    </w:p>
    <w:p w:rsidR="00B927E1" w:rsidRDefault="00C15027">
      <w:pPr>
        <w:pStyle w:val="Standard"/>
        <w:jc w:val="both"/>
      </w:pPr>
      <w:r>
        <w:rPr>
          <w:u w:val="single"/>
        </w:rPr>
        <w:t>Chronický abúzus</w:t>
      </w:r>
      <w:r>
        <w:t xml:space="preserve"> – flashbacky, paranoidní stavy, úzkosti, možné vyústění až v psychotické stavy, tato droga může vyprovokovat latentní (skryté) duševní onemocnění.</w:t>
      </w:r>
    </w:p>
    <w:p w:rsidR="00B927E1" w:rsidRDefault="00C15027">
      <w:pPr>
        <w:pStyle w:val="Standard"/>
        <w:jc w:val="both"/>
        <w:rPr>
          <w:u w:val="single"/>
        </w:rPr>
      </w:pPr>
      <w:r>
        <w:rPr>
          <w:u w:val="single"/>
        </w:rPr>
        <w:t>Léčba</w:t>
      </w:r>
      <w:r>
        <w:t xml:space="preserve"> – poradenská intervence, krátkodobá psychoterapie, v závažných případech pak buď krátkodobý pobyt v ps</w:t>
      </w:r>
      <w:r>
        <w:t>ych. léčebně (farmakoterapie) nebo pobyt dlouhodobějšího rázu. Jako nevhodná se jeví ústavní léčba.</w:t>
      </w: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  <w:rPr>
          <w:u w:val="single"/>
        </w:rPr>
      </w:pPr>
      <w:r>
        <w:rPr>
          <w:u w:val="single"/>
        </w:rPr>
        <w:t>Hašiš</w:t>
      </w:r>
      <w:r>
        <w:t xml:space="preserve"> – konopná pryskyřice, tmavě zelené barvy, dovoz z Maroka, Afghánistánu, apod.,</w:t>
      </w:r>
    </w:p>
    <w:p w:rsidR="00B927E1" w:rsidRDefault="00C15027">
      <w:pPr>
        <w:pStyle w:val="Standard"/>
        <w:jc w:val="both"/>
      </w:pPr>
      <w:r>
        <w:t>obsah aktivních látek až 40%</w:t>
      </w:r>
    </w:p>
    <w:p w:rsidR="00B927E1" w:rsidRDefault="00C15027">
      <w:pPr>
        <w:pStyle w:val="Standard"/>
        <w:jc w:val="both"/>
      </w:pPr>
      <w:r>
        <w:t>účinky – podobné jako u marihuany</w:t>
      </w: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Anal</w:t>
      </w:r>
      <w:r>
        <w:rPr>
          <w:b/>
          <w:bCs/>
          <w:sz w:val="26"/>
          <w:szCs w:val="26"/>
        </w:rPr>
        <w:t>getika</w:t>
      </w:r>
    </w:p>
    <w:p w:rsidR="00B927E1" w:rsidRDefault="00C15027">
      <w:pPr>
        <w:pStyle w:val="Standard"/>
        <w:jc w:val="both"/>
        <w:rPr>
          <w:u w:val="single"/>
        </w:rPr>
      </w:pPr>
      <w:r>
        <w:t xml:space="preserve">Dělí se na tři skupiny: </w:t>
      </w:r>
      <w:r>
        <w:rPr>
          <w:u w:val="single"/>
        </w:rPr>
        <w:t>opiody, nesteroidní antiflogistika a kombinovaná analgetika</w:t>
      </w:r>
    </w:p>
    <w:p w:rsidR="00B927E1" w:rsidRDefault="00C15027">
      <w:pPr>
        <w:pStyle w:val="Standard"/>
        <w:jc w:val="both"/>
      </w:pPr>
      <w:r>
        <w:t>Opioidy přírodní (morphin, codein)</w:t>
      </w:r>
    </w:p>
    <w:p w:rsidR="00B927E1" w:rsidRDefault="00C15027">
      <w:pPr>
        <w:pStyle w:val="Standard"/>
        <w:jc w:val="both"/>
      </w:pPr>
      <w:r>
        <w:t>Opioidy polosyntetické a syntetické (tramal, fentanyl, aj.)</w:t>
      </w:r>
    </w:p>
    <w:p w:rsidR="00B927E1" w:rsidRDefault="00C15027">
      <w:pPr>
        <w:pStyle w:val="Standard"/>
        <w:jc w:val="both"/>
      </w:pPr>
      <w:r>
        <w:t xml:space="preserve">Nesteroidní antiflogistika (aspirin, acylpyrin, brufen, ibuprofen, </w:t>
      </w:r>
      <w:r>
        <w:t>aj.)</w:t>
      </w:r>
    </w:p>
    <w:p w:rsidR="00B927E1" w:rsidRDefault="00C15027">
      <w:pPr>
        <w:pStyle w:val="Standard"/>
        <w:jc w:val="both"/>
      </w:pPr>
      <w:r>
        <w:t>Kombinovaná analgetika (alnagon, korylan)</w:t>
      </w:r>
    </w:p>
    <w:p w:rsidR="00B927E1" w:rsidRDefault="00C15027">
      <w:pPr>
        <w:pStyle w:val="Standard"/>
        <w:jc w:val="both"/>
      </w:pPr>
      <w:r>
        <w:t>užití – perorálně, injekčně např. Tramal, Morfin, Apaurin</w:t>
      </w:r>
    </w:p>
    <w:p w:rsidR="00B927E1" w:rsidRDefault="00C15027">
      <w:pPr>
        <w:pStyle w:val="Standard"/>
        <w:jc w:val="both"/>
      </w:pPr>
      <w:r>
        <w:t>účinky – tišení bolesti od nejnižší až po střední intenzitu (bolesti kloubů, svalů, revmatická onemocnění)</w:t>
      </w:r>
    </w:p>
    <w:p w:rsidR="00B927E1" w:rsidRDefault="00C15027">
      <w:pPr>
        <w:pStyle w:val="Standard"/>
        <w:jc w:val="both"/>
        <w:rPr>
          <w:u w:val="single"/>
        </w:rPr>
      </w:pPr>
      <w:r>
        <w:rPr>
          <w:u w:val="single"/>
        </w:rPr>
        <w:t>Chronický abúzus</w:t>
      </w:r>
      <w:r>
        <w:t xml:space="preserve"> – podobnost s heroinem, bra</w:t>
      </w:r>
      <w:r>
        <w:t>unem</w:t>
      </w:r>
    </w:p>
    <w:p w:rsidR="00B927E1" w:rsidRDefault="00C15027">
      <w:pPr>
        <w:pStyle w:val="Standard"/>
        <w:jc w:val="both"/>
      </w:pPr>
      <w:r>
        <w:t>Odvykací příznaky – podobné jako u opiátů, průběh však není tak dramatický</w:t>
      </w:r>
    </w:p>
    <w:p w:rsidR="00B927E1" w:rsidRDefault="00C15027">
      <w:pPr>
        <w:pStyle w:val="Standard"/>
        <w:jc w:val="both"/>
      </w:pPr>
      <w:r>
        <w:t>nesteroidní analgetiky nemají téměř žádný odvykací stav</w:t>
      </w: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Anxiolytika (trankvilizéry)</w:t>
      </w:r>
    </w:p>
    <w:p w:rsidR="00B927E1" w:rsidRDefault="00C15027">
      <w:pPr>
        <w:pStyle w:val="Standard"/>
        <w:jc w:val="both"/>
      </w:pPr>
      <w:r>
        <w:t>Užívají se ke snížení či odstranění úzkosti (anxiety), napětí (tenze), poruchách spánku, př</w:t>
      </w:r>
      <w:r>
        <w:t>i odvykacích stavech na alkoholu a barbiturátech, proti epilep. záchvatům, před anestezií</w:t>
      </w:r>
    </w:p>
    <w:p w:rsidR="00B927E1" w:rsidRDefault="00C15027">
      <w:pPr>
        <w:pStyle w:val="Standard"/>
        <w:jc w:val="both"/>
        <w:rPr>
          <w:u w:val="single"/>
        </w:rPr>
      </w:pPr>
      <w:r>
        <w:t xml:space="preserve">Dělí se na </w:t>
      </w:r>
      <w:r>
        <w:rPr>
          <w:u w:val="single"/>
        </w:rPr>
        <w:t>Propandioly, Benzodiazepiny a jiná</w:t>
      </w:r>
    </w:p>
    <w:p w:rsidR="00B927E1" w:rsidRDefault="00C15027">
      <w:pPr>
        <w:pStyle w:val="Standard"/>
        <w:jc w:val="both"/>
      </w:pPr>
      <w:r>
        <w:t>Propandioly – např. mepromabat</w:t>
      </w:r>
    </w:p>
    <w:p w:rsidR="00B927E1" w:rsidRDefault="00C15027">
      <w:pPr>
        <w:pStyle w:val="Standard"/>
        <w:jc w:val="both"/>
      </w:pPr>
      <w:r>
        <w:t>Benzodiazepiny – diazepam, valium, oxazepam, neurol, xanax, lexaurin, rivotril, aj.</w:t>
      </w:r>
    </w:p>
    <w:p w:rsidR="00B927E1" w:rsidRDefault="00C15027">
      <w:pPr>
        <w:pStyle w:val="Standard"/>
        <w:jc w:val="both"/>
      </w:pPr>
      <w:r>
        <w:t>Jiná</w:t>
      </w:r>
      <w:r>
        <w:t xml:space="preserve"> – prothiaden, tisercin, chlorprothixen, aj.</w:t>
      </w: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  <w:rPr>
          <w:u w:val="single"/>
        </w:rPr>
      </w:pPr>
      <w:r>
        <w:rPr>
          <w:u w:val="single"/>
        </w:rPr>
        <w:t xml:space="preserve">Odvykací syndrom </w:t>
      </w:r>
      <w:r>
        <w:t>– možnost přímého ohrožení na životě!!!</w:t>
      </w:r>
    </w:p>
    <w:p w:rsidR="00B927E1" w:rsidRDefault="00C15027">
      <w:pPr>
        <w:pStyle w:val="Standard"/>
        <w:jc w:val="both"/>
        <w:rPr>
          <w:u w:val="single"/>
        </w:rPr>
      </w:pPr>
      <w:r>
        <w:rPr>
          <w:u w:val="single"/>
        </w:rPr>
        <w:t xml:space="preserve">Léčba </w:t>
      </w:r>
      <w:r>
        <w:t>– zdlouhavá, návyk probíhá často skrytě (latentně), pomalé snižování dávek za přítomnosti lékařského dozoru na detoxifikační jednotce</w:t>
      </w: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Těkavé lát</w:t>
      </w:r>
      <w:r>
        <w:rPr>
          <w:b/>
          <w:bCs/>
          <w:sz w:val="26"/>
          <w:szCs w:val="26"/>
        </w:rPr>
        <w:t>ky</w:t>
      </w:r>
    </w:p>
    <w:p w:rsidR="00B927E1" w:rsidRDefault="00C15027">
      <w:pPr>
        <w:pStyle w:val="Standard"/>
        <w:jc w:val="both"/>
      </w:pPr>
      <w:r>
        <w:t>Patří sem Toluen, Trichlorethylen, aceton, éter, benzin, rajský plyn, jsou cenově dostupné, bývají často iniciační, tzv. startovací drogou (při přechodu k jiným návykovým látkám)</w:t>
      </w:r>
    </w:p>
    <w:p w:rsidR="00B927E1" w:rsidRDefault="00C15027">
      <w:pPr>
        <w:pStyle w:val="Standard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Toluen </w:t>
      </w:r>
      <w:r>
        <w:rPr>
          <w:sz w:val="26"/>
          <w:szCs w:val="26"/>
        </w:rPr>
        <w:t>-</w:t>
      </w:r>
      <w:r>
        <w:t xml:space="preserve"> nejvíce užíváná látka v ČR</w:t>
      </w:r>
    </w:p>
    <w:p w:rsidR="00B927E1" w:rsidRDefault="00C15027">
      <w:pPr>
        <w:pStyle w:val="Standard"/>
        <w:jc w:val="both"/>
      </w:pPr>
      <w:r>
        <w:t>užití – inhalací přímo z lahve nebo vdechováním výparů z napuštěné tkaniny (tzv. sniffing)</w:t>
      </w: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</w:pPr>
      <w:r>
        <w:t>účinky – euforie, útlum, možnost zrakových a sluchových halucinací</w:t>
      </w:r>
    </w:p>
    <w:p w:rsidR="00B927E1" w:rsidRDefault="00C15027">
      <w:pPr>
        <w:pStyle w:val="Standard"/>
        <w:jc w:val="both"/>
      </w:pPr>
      <w:r>
        <w:t xml:space="preserve">předávkování – velmi těžko se dopředu odhaduje bezpečné množství </w:t>
      </w:r>
      <w:r>
        <w:t>látky, většinou začíná bezvědomím až kómatem, může nastat zástava srdce, dechu, udušení zvratky a smrt. Úmrtí je možné už po prvním experimentování.</w:t>
      </w:r>
    </w:p>
    <w:p w:rsidR="00B927E1" w:rsidRDefault="00C15027">
      <w:pPr>
        <w:pStyle w:val="Standard"/>
        <w:jc w:val="both"/>
        <w:rPr>
          <w:sz w:val="26"/>
          <w:szCs w:val="26"/>
        </w:rPr>
      </w:pPr>
      <w:r>
        <w:rPr>
          <w:u w:val="single"/>
        </w:rPr>
        <w:t>Chronický abúzus</w:t>
      </w:r>
      <w:r>
        <w:t xml:space="preserve"> –</w:t>
      </w:r>
      <w:r>
        <w:rPr>
          <w:sz w:val="26"/>
          <w:szCs w:val="26"/>
        </w:rPr>
        <w:t xml:space="preserve"> </w:t>
      </w:r>
      <w:r>
        <w:t>celkové otupění („hloupnutí“), afektivní labilita, agresivita, ztráta zájmů, trvalé pošk</w:t>
      </w:r>
      <w:r>
        <w:t>ození mozkových struktur, silná psychická závislost, častá invalidita, nízké procento abstinujících z důvodu dlouhodobého poškození mozkové struktury</w:t>
      </w:r>
    </w:p>
    <w:p w:rsidR="00B927E1" w:rsidRDefault="00C15027">
      <w:pPr>
        <w:pStyle w:val="Standard"/>
        <w:jc w:val="both"/>
        <w:rPr>
          <w:sz w:val="26"/>
          <w:szCs w:val="26"/>
        </w:rPr>
      </w:pPr>
      <w:r>
        <w:rPr>
          <w:u w:val="single"/>
        </w:rPr>
        <w:t>Léčba</w:t>
      </w:r>
      <w:r>
        <w:t xml:space="preserve"> – spolupráce s rodiči dítěte (poradny ve škole, aj.), zároveň pobyt ve zdravotnickém</w:t>
      </w: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  <w:rPr>
          <w:sz w:val="26"/>
          <w:szCs w:val="26"/>
          <w:u w:val="single"/>
        </w:rPr>
      </w:pPr>
      <w:r>
        <w:rPr>
          <w:u w:val="single"/>
        </w:rPr>
        <w:t>Trichlorethyl</w:t>
      </w:r>
      <w:r>
        <w:rPr>
          <w:u w:val="single"/>
        </w:rPr>
        <w:t>en</w:t>
      </w:r>
      <w:r>
        <w:rPr>
          <w:sz w:val="26"/>
          <w:szCs w:val="26"/>
        </w:rPr>
        <w:t xml:space="preserve"> – </w:t>
      </w:r>
      <w:r>
        <w:t>všestranné rozpouštědlo, součást čistících prostředků  Čikuli, na poč. 70. let, 20. stol. Československu, první experimentátoři z řad 13 až 14letých školáků</w:t>
      </w:r>
    </w:p>
    <w:p w:rsidR="00B927E1" w:rsidRDefault="00C15027">
      <w:pPr>
        <w:pStyle w:val="Standard"/>
        <w:jc w:val="both"/>
      </w:pPr>
      <w:r>
        <w:t>učinky – zrakové, sluchové halucinace, podobné jako u toluenu</w:t>
      </w: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  <w:rPr>
          <w:sz w:val="26"/>
          <w:szCs w:val="26"/>
          <w:u w:val="single"/>
        </w:rPr>
      </w:pPr>
      <w:r>
        <w:rPr>
          <w:u w:val="single"/>
        </w:rPr>
        <w:t>Aceton</w:t>
      </w:r>
      <w:r>
        <w:rPr>
          <w:sz w:val="26"/>
          <w:szCs w:val="26"/>
        </w:rPr>
        <w:t xml:space="preserve"> – </w:t>
      </w:r>
      <w:r>
        <w:t>mnohostranné rozpouště</w:t>
      </w:r>
      <w:r>
        <w:t>dlo</w:t>
      </w:r>
    </w:p>
    <w:p w:rsidR="00B927E1" w:rsidRDefault="00C15027">
      <w:pPr>
        <w:pStyle w:val="Standard"/>
        <w:jc w:val="both"/>
        <w:rPr>
          <w:sz w:val="26"/>
          <w:szCs w:val="26"/>
          <w:u w:val="single"/>
        </w:rPr>
      </w:pPr>
      <w:r>
        <w:rPr>
          <w:u w:val="single"/>
        </w:rPr>
        <w:t>Éter</w:t>
      </w:r>
      <w:r>
        <w:rPr>
          <w:sz w:val="26"/>
          <w:szCs w:val="26"/>
        </w:rPr>
        <w:t xml:space="preserve"> – </w:t>
      </w:r>
      <w:r>
        <w:t>rozpouštědlo tuků a olejů, dříve používáno u narkóz</w:t>
      </w:r>
    </w:p>
    <w:p w:rsidR="00B927E1" w:rsidRDefault="00C15027">
      <w:pPr>
        <w:pStyle w:val="Standard"/>
        <w:jc w:val="both"/>
        <w:rPr>
          <w:sz w:val="26"/>
          <w:szCs w:val="26"/>
          <w:u w:val="single"/>
        </w:rPr>
      </w:pPr>
      <w:r>
        <w:rPr>
          <w:u w:val="single"/>
        </w:rPr>
        <w:t>Benzin</w:t>
      </w:r>
      <w:r>
        <w:rPr>
          <w:sz w:val="26"/>
          <w:szCs w:val="26"/>
        </w:rPr>
        <w:t xml:space="preserve"> –</w:t>
      </w:r>
      <w:r>
        <w:t xml:space="preserve"> pohonná hmota</w:t>
      </w:r>
    </w:p>
    <w:p w:rsidR="00B927E1" w:rsidRDefault="00C15027">
      <w:pPr>
        <w:pStyle w:val="Standard"/>
        <w:jc w:val="both"/>
        <w:rPr>
          <w:sz w:val="26"/>
          <w:szCs w:val="26"/>
          <w:u w:val="single"/>
        </w:rPr>
      </w:pPr>
      <w:r>
        <w:rPr>
          <w:u w:val="single"/>
        </w:rPr>
        <w:t>Rajský plyn</w:t>
      </w:r>
      <w:r>
        <w:rPr>
          <w:sz w:val="26"/>
          <w:szCs w:val="26"/>
        </w:rPr>
        <w:t xml:space="preserve"> – </w:t>
      </w:r>
      <w:r>
        <w:t>krátkodobé narkózy, získáván z tlakových lahviček na výrobu šlehaček, nebezpečí spálení dýchacích cest (rychlý únik oxidu dusného)</w:t>
      </w: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Taneční drogy (technosc</w:t>
      </w:r>
      <w:r>
        <w:rPr>
          <w:b/>
          <w:bCs/>
          <w:sz w:val="26"/>
          <w:szCs w:val="26"/>
        </w:rPr>
        <w:t>éna)</w:t>
      </w:r>
    </w:p>
    <w:p w:rsidR="00B927E1" w:rsidRDefault="00C15027">
      <w:pPr>
        <w:pStyle w:val="Standard"/>
        <w:jc w:val="both"/>
      </w:pPr>
      <w:r>
        <w:t>MDMA – poprvé v roce 1912 firma Merck, sloužil jako lék na hubnutí. Na parties se začal užívat v 70. letech v USA, odtud se rozšířil do Velké Británie a následně do zemí západní Evropy.</w:t>
      </w:r>
    </w:p>
    <w:p w:rsidR="00B927E1" w:rsidRDefault="00C15027">
      <w:pPr>
        <w:pStyle w:val="Standard"/>
        <w:jc w:val="both"/>
      </w:pPr>
      <w:r>
        <w:t>Účinky – prvními příznaky jsou zmatenost, neklid, poté nastává z</w:t>
      </w:r>
      <w:r>
        <w:t>klidnění, pocit pohody, mizí stres, zvyšuje se intelektuální činnost, empatie, pocity lásky, větší komunikativnost, dotyčný nepotřebuje spát a jíst, pocení, sucho v ústech, vzestup tělesné teploty a zvýšený krevní tlak. Hrozí hypertemie (přehřátí organismu</w:t>
      </w:r>
      <w:r>
        <w:t>), jako prevenci vůči tomuto jevu se v oblasti Harm reduction začaly používat chladící místnosti, tzv. cooling. Dalším rizikem je poškození jater, možný je i výskyt poškození jater. Jako prevenci vůči tomuto jevu se v oblasti Harm reduction začaly používat</w:t>
      </w:r>
      <w:r>
        <w:t xml:space="preserve"> chladící místnosti, tzv. cooling. K této prevenci ještě patří i dostatek tekutin a minerálních látek. Po skončení účinků přichází zhoršení nálady.</w:t>
      </w:r>
    </w:p>
    <w:p w:rsidR="00B927E1" w:rsidRDefault="00C15027">
      <w:pPr>
        <w:pStyle w:val="Standard"/>
        <w:jc w:val="both"/>
      </w:pPr>
      <w:r>
        <w:rPr>
          <w:u w:val="single"/>
        </w:rPr>
        <w:t>Chronický abúzus</w:t>
      </w:r>
      <w:r>
        <w:t xml:space="preserve"> – podobné následky jako u stimulancií</w:t>
      </w:r>
    </w:p>
    <w:p w:rsidR="00B927E1" w:rsidRDefault="00C15027">
      <w:pPr>
        <w:pStyle w:val="Standard"/>
        <w:jc w:val="both"/>
      </w:pPr>
      <w:r>
        <w:rPr>
          <w:u w:val="single"/>
        </w:rPr>
        <w:t xml:space="preserve">Léčba </w:t>
      </w:r>
      <w:r>
        <w:t>– vyjímečně v ústavních zařízeních pro závislé</w:t>
      </w: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</w:pPr>
      <w:r>
        <w:rPr>
          <w:sz w:val="26"/>
          <w:szCs w:val="26"/>
          <w:u w:val="single"/>
        </w:rPr>
        <w:t>Fenylcyklidin</w:t>
      </w:r>
      <w:r>
        <w:rPr>
          <w:sz w:val="26"/>
          <w:szCs w:val="26"/>
        </w:rPr>
        <w:t xml:space="preserve"> </w:t>
      </w:r>
      <w:r>
        <w:t>(PCP, „andělský prach“) - budící látka, tlumící bolest s halucinogenními účinky, zpočátku užívaná jako anestetikum.</w:t>
      </w:r>
    </w:p>
    <w:p w:rsidR="00B927E1" w:rsidRDefault="00C15027">
      <w:pPr>
        <w:pStyle w:val="Standard"/>
        <w:jc w:val="both"/>
      </w:pPr>
      <w:r>
        <w:t xml:space="preserve">účinky – už po několika minutách, euforie, pocit tepla, brnění, vznášení se („klidná izolace“, odloučení), klamy, bludy. </w:t>
      </w:r>
      <w:r>
        <w:t>Působí 4 až 6 hodin, poté riziko sebevražd nebo agresivního jednání, změny nálad, apod.</w:t>
      </w: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</w:pPr>
      <w:r>
        <w:rPr>
          <w:sz w:val="26"/>
          <w:szCs w:val="26"/>
          <w:u w:val="single"/>
        </w:rPr>
        <w:t>Ketamin</w:t>
      </w:r>
      <w:r>
        <w:t xml:space="preserve"> (Kety, K, Vitamin K) – anestetikum, disociativní realita = oddělené prožívání</w:t>
      </w:r>
    </w:p>
    <w:p w:rsidR="00B927E1" w:rsidRDefault="00C15027">
      <w:pPr>
        <w:pStyle w:val="Standard"/>
        <w:jc w:val="both"/>
      </w:pPr>
      <w:r>
        <w:t>účinky – nepříjemné, halucinace, ztráta citlivosti (hmat), stoupá krevní tlak, n</w:t>
      </w:r>
      <w:r>
        <w:t>evolnost</w:t>
      </w:r>
    </w:p>
    <w:p w:rsidR="00B927E1" w:rsidRDefault="00C15027">
      <w:pPr>
        <w:pStyle w:val="Standard"/>
        <w:jc w:val="both"/>
      </w:pPr>
      <w:r>
        <w:rPr>
          <w:u w:val="single"/>
        </w:rPr>
        <w:t>Chronický abuzus</w:t>
      </w:r>
      <w:r>
        <w:t xml:space="preserve"> – snížení citlivosti vůči Ketaminu</w:t>
      </w:r>
    </w:p>
    <w:p w:rsidR="00B927E1" w:rsidRDefault="00C15027">
      <w:pPr>
        <w:pStyle w:val="Standard"/>
        <w:jc w:val="both"/>
      </w:pPr>
      <w:r>
        <w:t>forma užití – sniffing (šňupání) nebo ve formě tablet</w:t>
      </w: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  <w:rPr>
          <w:b/>
          <w:bCs/>
          <w:sz w:val="26"/>
          <w:szCs w:val="26"/>
        </w:rPr>
      </w:pPr>
    </w:p>
    <w:p w:rsidR="00B927E1" w:rsidRDefault="00B927E1">
      <w:pPr>
        <w:pStyle w:val="Standard"/>
        <w:jc w:val="both"/>
        <w:rPr>
          <w:b/>
          <w:bCs/>
          <w:sz w:val="26"/>
          <w:szCs w:val="26"/>
        </w:rPr>
      </w:pPr>
    </w:p>
    <w:p w:rsidR="00B927E1" w:rsidRDefault="00B927E1">
      <w:pPr>
        <w:pStyle w:val="Standard"/>
        <w:jc w:val="both"/>
        <w:rPr>
          <w:b/>
          <w:bCs/>
          <w:sz w:val="26"/>
          <w:szCs w:val="26"/>
        </w:rPr>
      </w:pPr>
    </w:p>
    <w:p w:rsidR="00B927E1" w:rsidRDefault="00B927E1">
      <w:pPr>
        <w:pStyle w:val="Standard"/>
        <w:jc w:val="both"/>
        <w:rPr>
          <w:b/>
          <w:bCs/>
          <w:sz w:val="26"/>
          <w:szCs w:val="26"/>
        </w:rPr>
      </w:pPr>
    </w:p>
    <w:p w:rsidR="00B927E1" w:rsidRDefault="00B927E1">
      <w:pPr>
        <w:pStyle w:val="Standard"/>
        <w:jc w:val="both"/>
        <w:rPr>
          <w:b/>
          <w:bCs/>
          <w:sz w:val="26"/>
          <w:szCs w:val="26"/>
        </w:rPr>
      </w:pPr>
    </w:p>
    <w:p w:rsidR="00B927E1" w:rsidRDefault="00B927E1">
      <w:pPr>
        <w:pStyle w:val="Standard"/>
        <w:jc w:val="both"/>
        <w:rPr>
          <w:b/>
          <w:bCs/>
          <w:sz w:val="26"/>
          <w:szCs w:val="26"/>
        </w:rPr>
      </w:pPr>
    </w:p>
    <w:p w:rsidR="00B927E1" w:rsidRDefault="00C15027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Nové syntetické drogy (NSD)</w:t>
      </w:r>
    </w:p>
    <w:p w:rsidR="00B927E1" w:rsidRDefault="00C15027">
      <w:pPr>
        <w:pStyle w:val="Standard"/>
        <w:jc w:val="both"/>
      </w:pPr>
      <w:r>
        <w:t xml:space="preserve">Celková charakteristika: </w:t>
      </w:r>
      <w:r>
        <w:rPr>
          <w:i/>
          <w:iCs/>
        </w:rPr>
        <w:t>„</w:t>
      </w:r>
      <w:r>
        <w:rPr>
          <w:i/>
          <w:iCs/>
        </w:rPr>
        <w:t xml:space="preserve">Nové syntetické drogy (zkráceně NSD), jsou látky s různými psychoaktivními </w:t>
      </w:r>
      <w:r>
        <w:rPr>
          <w:i/>
          <w:iCs/>
        </w:rPr>
        <w:t>účinky, které nepodléhají kontrole podle mezinárodních úmluv OSN a současně nebývají kontrolovány jako omamné a psychotropní látky (OPL) na národních úrovních“</w:t>
      </w:r>
      <w:r>
        <w:t>.</w:t>
      </w:r>
      <w:r>
        <w:rPr>
          <w:rStyle w:val="Znakapoznpodarou"/>
        </w:rPr>
        <w:footnoteReference w:id="4"/>
      </w:r>
    </w:p>
    <w:p w:rsidR="00B927E1" w:rsidRDefault="00C15027">
      <w:pPr>
        <w:pStyle w:val="Standard"/>
        <w:jc w:val="both"/>
      </w:pPr>
      <w:r>
        <w:t>V ČR bylo od roku 2010 do půlky roku 2011 evidováno několik (zhruba 40) kamenných prodejen, které prodá</w:t>
      </w:r>
      <w:r>
        <w:t>valy tyto látky jako např. soli do koupele, vykuřovací a jiné směsi, bylinné směsi, aj. V roce 2011 pak byly (díky novelizaci zákona č. 167/1998 Sb., o návykových látkách) tyto prodejny uzavřeny.</w:t>
      </w:r>
    </w:p>
    <w:p w:rsidR="00B927E1" w:rsidRDefault="00C15027">
      <w:pPr>
        <w:pStyle w:val="Standard"/>
        <w:jc w:val="both"/>
      </w:pPr>
      <w:r>
        <w:t>Patří sem</w:t>
      </w:r>
      <w:r>
        <w:rPr>
          <w:u w:val="single"/>
        </w:rPr>
        <w:t xml:space="preserve"> komerční drogy</w:t>
      </w:r>
      <w:r>
        <w:t xml:space="preserve"> (syntetické katinony), </w:t>
      </w:r>
      <w:r>
        <w:rPr>
          <w:u w:val="single"/>
        </w:rPr>
        <w:t xml:space="preserve">syntetické </w:t>
      </w:r>
      <w:r>
        <w:rPr>
          <w:u w:val="single"/>
        </w:rPr>
        <w:t>kanabinoidy</w:t>
      </w:r>
      <w:r>
        <w:t xml:space="preserve"> a </w:t>
      </w:r>
      <w:r>
        <w:rPr>
          <w:u w:val="single"/>
        </w:rPr>
        <w:t>opioidy</w:t>
      </w:r>
      <w:r>
        <w:t>. Uživateli těchto drog jsou převážně mladí lidé mezi 15. až 18. věkem. Pocházejí z řad tzv. experimentátorů. Výhodou těchto drog je dostupnost, cena + legální status a e-shopy. Velkým rizikem těchto drog jsou špatná předvídatelnost úč</w:t>
      </w:r>
      <w:r>
        <w:t>inku drogy, která má neznámé přiměsy, a její celkové složení není jasné.</w:t>
      </w:r>
    </w:p>
    <w:p w:rsidR="00B927E1" w:rsidRDefault="00C15027">
      <w:pPr>
        <w:pStyle w:val="Standard"/>
        <w:jc w:val="both"/>
      </w:pPr>
      <w:r>
        <w:rPr>
          <w:u w:val="single"/>
        </w:rPr>
        <w:t>Syntetické katinony</w:t>
      </w:r>
      <w:r>
        <w:t xml:space="preserve"> – náhražka stimulancií (Magico, Funky, atd.)</w:t>
      </w:r>
    </w:p>
    <w:p w:rsidR="00B927E1" w:rsidRDefault="00C15027">
      <w:pPr>
        <w:pStyle w:val="Standard"/>
        <w:jc w:val="both"/>
      </w:pPr>
      <w:r>
        <w:rPr>
          <w:u w:val="single"/>
        </w:rPr>
        <w:t>Syntetické kanabinoidy</w:t>
      </w:r>
      <w:r>
        <w:t xml:space="preserve"> – náhražka marihuany</w:t>
      </w:r>
    </w:p>
    <w:p w:rsidR="00B927E1" w:rsidRDefault="00C15027">
      <w:pPr>
        <w:pStyle w:val="Standard"/>
        <w:jc w:val="both"/>
      </w:pPr>
      <w:r>
        <w:rPr>
          <w:u w:val="single"/>
        </w:rPr>
        <w:t>Opioidy</w:t>
      </w:r>
      <w:r>
        <w:rPr>
          <w:sz w:val="26"/>
          <w:szCs w:val="26"/>
        </w:rPr>
        <w:t xml:space="preserve"> </w:t>
      </w:r>
      <w:r>
        <w:t>– Fentanyl (syntetický heroin)</w:t>
      </w: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Způsoby léčby (léčebné programy)</w:t>
      </w:r>
    </w:p>
    <w:p w:rsidR="00B927E1" w:rsidRDefault="00C15027">
      <w:pPr>
        <w:pStyle w:val="Standard"/>
        <w:jc w:val="both"/>
      </w:pPr>
      <w:r>
        <w:t>a) ambulantní (tzv. AT poradny), alternativou těchto poraden můžou být např. Anonymní narkom</w:t>
      </w:r>
      <w:r>
        <w:t>ani</w:t>
      </w:r>
    </w:p>
    <w:p w:rsidR="00B927E1" w:rsidRDefault="00C15027">
      <w:pPr>
        <w:pStyle w:val="Standard"/>
        <w:jc w:val="both"/>
      </w:pPr>
      <w:r>
        <w:t>b) pobytová léčba (ústavní a rezidenční – psychiatrické léčebny a terapeutické komunity), denní stacionáře</w:t>
      </w:r>
    </w:p>
    <w:p w:rsidR="00B927E1" w:rsidRDefault="00C15027">
      <w:pPr>
        <w:pStyle w:val="Standard"/>
        <w:jc w:val="both"/>
      </w:pPr>
      <w:r>
        <w:t>c) poradna (sociální, právní oblast, zdravotní  – např. právní poradna A.N.O., Praha 3)</w:t>
      </w:r>
    </w:p>
    <w:p w:rsidR="00B927E1" w:rsidRDefault="00C15027">
      <w:pPr>
        <w:pStyle w:val="Standard"/>
        <w:jc w:val="both"/>
      </w:pPr>
      <w:r>
        <w:t>c) substituční léčba (především náhražky opioidů – metado</w:t>
      </w:r>
      <w:r>
        <w:t>n, buprenorfin (subutex)</w:t>
      </w:r>
    </w:p>
    <w:p w:rsidR="00B927E1" w:rsidRDefault="00C15027">
      <w:pPr>
        <w:pStyle w:val="Standard"/>
        <w:jc w:val="both"/>
      </w:pPr>
      <w:r>
        <w:t>d) harm reduction (terénní programy, kontaktní centra)</w:t>
      </w:r>
    </w:p>
    <w:p w:rsidR="00B927E1" w:rsidRDefault="00C15027">
      <w:pPr>
        <w:pStyle w:val="Standard"/>
        <w:jc w:val="both"/>
      </w:pPr>
      <w:r>
        <w:t>e) detoxifikace (detox)</w:t>
      </w:r>
    </w:p>
    <w:p w:rsidR="00B927E1" w:rsidRDefault="00C15027">
      <w:pPr>
        <w:pStyle w:val="Standard"/>
        <w:jc w:val="both"/>
      </w:pPr>
      <w:r>
        <w:t>f) drogové služby ve vězení (např. o.s. Laxus – Hradec Králové, Sananim – Praha, Podané ruce Brno)</w:t>
      </w:r>
    </w:p>
    <w:p w:rsidR="00B927E1" w:rsidRDefault="00C15027">
      <w:pPr>
        <w:pStyle w:val="Standard"/>
        <w:jc w:val="both"/>
      </w:pPr>
      <w:r>
        <w:t>f) následná péče (chráněná bydlení, doléčovací progra</w:t>
      </w:r>
      <w:r>
        <w:t>my, sociální rehabilitace)</w:t>
      </w: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</w:pPr>
      <w:r>
        <w:t xml:space="preserve">Kontakty na všechna zařízení: </w:t>
      </w:r>
      <w:hyperlink r:id="rId6" w:history="1">
        <w:r>
          <w:t>http://www.drogy.net/databaze-kontaktu/</w:t>
        </w:r>
      </w:hyperlink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B927E1">
      <w:pPr>
        <w:pStyle w:val="Standard"/>
        <w:jc w:val="both"/>
      </w:pPr>
    </w:p>
    <w:p w:rsidR="00B927E1" w:rsidRDefault="00C15027">
      <w:pPr>
        <w:pStyle w:val="Standard"/>
        <w:jc w:val="both"/>
      </w:pPr>
      <w:r>
        <w:t xml:space="preserve">             </w:t>
      </w:r>
    </w:p>
    <w:sectPr w:rsidR="00B927E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027" w:rsidRDefault="00C15027">
      <w:r>
        <w:separator/>
      </w:r>
    </w:p>
  </w:endnote>
  <w:endnote w:type="continuationSeparator" w:id="0">
    <w:p w:rsidR="00C15027" w:rsidRDefault="00C1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lbany">
    <w:charset w:val="00"/>
    <w:family w:val="swiss"/>
    <w:pitch w:val="variable"/>
  </w:font>
  <w:font w:name="Thorndale">
    <w:altName w:val="Times New Roman"/>
    <w:charset w:val="00"/>
    <w:family w:val="roman"/>
    <w:pitch w:val="variable"/>
  </w:font>
  <w:font w:name="OpenSymbol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027" w:rsidRDefault="00C15027">
      <w:r>
        <w:rPr>
          <w:color w:val="000000"/>
        </w:rPr>
        <w:separator/>
      </w:r>
    </w:p>
  </w:footnote>
  <w:footnote w:type="continuationSeparator" w:id="0">
    <w:p w:rsidR="00C15027" w:rsidRDefault="00C15027">
      <w:r>
        <w:continuationSeparator/>
      </w:r>
    </w:p>
  </w:footnote>
  <w:footnote w:id="1">
    <w:p w:rsidR="00B927E1" w:rsidRDefault="00C15027">
      <w:pPr>
        <w:pStyle w:val="lyt-darkblueLTNotizen"/>
        <w:rPr>
          <w:sz w:val="22"/>
          <w:szCs w:val="22"/>
        </w:rPr>
      </w:pPr>
      <w:r>
        <w:rPr>
          <w:rStyle w:val="Znakapoznpodarou"/>
        </w:rPr>
        <w:footnoteRef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KALINA, Kamil. Drogy a drogové závislost 1: Mezioborový přístup. 2003. Praha: Úřad vlády ČR, 2003, s. 314. ISBN 80-86734-05-6.</w:t>
      </w:r>
    </w:p>
    <w:p w:rsidR="00B927E1" w:rsidRDefault="00B927E1">
      <w:pPr>
        <w:pStyle w:val="Footnote"/>
      </w:pPr>
    </w:p>
  </w:footnote>
  <w:footnote w:id="2">
    <w:p w:rsidR="00B927E1" w:rsidRDefault="00C15027">
      <w:pPr>
        <w:pStyle w:val="lyt-darkblueLTNotizen"/>
        <w:rPr>
          <w:rFonts w:ascii="Times New Roman" w:hAnsi="Times New Roman"/>
          <w:sz w:val="22"/>
          <w:szCs w:val="22"/>
        </w:rPr>
      </w:pPr>
      <w:r>
        <w:rPr>
          <w:rStyle w:val="Znakapoznpodarou"/>
        </w:rPr>
        <w:footnoteRef/>
      </w:r>
      <w:r>
        <w:rPr>
          <w:rFonts w:ascii="Times New Roman" w:hAnsi="Times New Roman"/>
          <w:sz w:val="22"/>
          <w:szCs w:val="22"/>
        </w:rPr>
        <w:t xml:space="preserve"> Kalina a kolektiv, ref. 1, s. 109</w:t>
      </w:r>
    </w:p>
    <w:p w:rsidR="00B927E1" w:rsidRDefault="00B927E1">
      <w:pPr>
        <w:pStyle w:val="Footnote"/>
      </w:pPr>
      <w:bookmarkStart w:id="0" w:name="_GoBack"/>
      <w:bookmarkEnd w:id="0"/>
    </w:p>
  </w:footnote>
  <w:footnote w:id="3">
    <w:p w:rsidR="00B927E1" w:rsidRDefault="00C15027">
      <w:pPr>
        <w:pStyle w:val="Footnote"/>
      </w:pPr>
      <w:r>
        <w:rPr>
          <w:rStyle w:val="Znakapoznpodarou"/>
        </w:rPr>
        <w:footnoteRef/>
      </w:r>
      <w:r>
        <w:t>Kalina a kolektiv, ref. 1, s. 164</w:t>
      </w:r>
    </w:p>
  </w:footnote>
  <w:footnote w:id="4">
    <w:p w:rsidR="00B927E1" w:rsidRDefault="00C15027">
      <w:pPr>
        <w:pStyle w:val="Footnote"/>
      </w:pPr>
      <w:r>
        <w:rPr>
          <w:rStyle w:val="Znakapoznpodarou"/>
        </w:rPr>
        <w:footnoteRef/>
      </w:r>
      <w:r>
        <w:rPr>
          <w:i/>
        </w:rPr>
        <w:t>Zaostřeno na drogy: Nové syntetické drogy</w:t>
      </w:r>
      <w:r>
        <w:t xml:space="preserve"> [online]. Praha: Úřad vlády ČR, 2012, </w:t>
      </w:r>
      <w:r>
        <w:rPr>
          <w:b/>
        </w:rPr>
        <w:t>desátý</w:t>
      </w:r>
      <w:r>
        <w:t>(5/2012</w:t>
      </w:r>
      <w:r>
        <w:t>) [cit. 2016-01-23]. ISSN 1214 -1089. Dostupné z: http://www.drogy-info.cz/data/obj_files/4572/555/Zaostreno_na_drogy_2012-05_Nove_synteticke_drogy.pdf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27E1"/>
    <w:rsid w:val="003F6CF9"/>
    <w:rsid w:val="00B927E1"/>
    <w:rsid w:val="00C1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F6BDC16-D7E3-4A83-8752-AB6EE9BF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Objektseipkou">
    <w:name w:val="Objekt se šipkou"/>
    <w:basedOn w:val="Standard"/>
  </w:style>
  <w:style w:type="paragraph" w:customStyle="1" w:styleId="Objektsestnovnm">
    <w:name w:val="Objekt se stínováním"/>
    <w:basedOn w:val="Standard"/>
  </w:style>
  <w:style w:type="paragraph" w:customStyle="1" w:styleId="Objektbezvpln">
    <w:name w:val="Objekt bez výpln?"/>
    <w:basedOn w:val="Standard"/>
  </w:style>
  <w:style w:type="paragraph" w:customStyle="1" w:styleId="Objektbezvplnabezry">
    <w:name w:val="Objekt bez výpln? a bez ?áry"/>
    <w:basedOn w:val="Standard"/>
  </w:style>
  <w:style w:type="paragraph" w:customStyle="1" w:styleId="Text">
    <w:name w:val="Text"/>
    <w:basedOn w:val="Titulek"/>
  </w:style>
  <w:style w:type="paragraph" w:customStyle="1" w:styleId="Tlotextu">
    <w:name w:val="T?lo textu"/>
    <w:basedOn w:val="Standard"/>
  </w:style>
  <w:style w:type="paragraph" w:customStyle="1" w:styleId="Zarovnantextovtlo">
    <w:name w:val="Zarovnané textové t?lo"/>
    <w:basedOn w:val="Standard"/>
  </w:style>
  <w:style w:type="paragraph" w:customStyle="1" w:styleId="Odsazenprvnhodku">
    <w:name w:val="Odsazení prvního ?ádku"/>
    <w:basedOn w:val="Standard"/>
    <w:pPr>
      <w:ind w:firstLine="340"/>
    </w:pPr>
  </w:style>
  <w:style w:type="paragraph" w:customStyle="1" w:styleId="Titul1">
    <w:name w:val="Titul1"/>
    <w:basedOn w:val="Standard"/>
    <w:pPr>
      <w:jc w:val="center"/>
    </w:pPr>
  </w:style>
  <w:style w:type="paragraph" w:customStyle="1" w:styleId="Titul2">
    <w:name w:val="Titul2"/>
    <w:basedOn w:val="Standard"/>
    <w:pPr>
      <w:spacing w:before="57" w:after="57"/>
      <w:ind w:right="113"/>
      <w:jc w:val="center"/>
    </w:pPr>
  </w:style>
  <w:style w:type="paragraph" w:customStyle="1" w:styleId="Nadpis1">
    <w:name w:val="Nadpis1"/>
    <w:basedOn w:val="Standard"/>
    <w:pPr>
      <w:spacing w:before="238" w:after="119"/>
    </w:pPr>
  </w:style>
  <w:style w:type="paragraph" w:customStyle="1" w:styleId="Nadpis2">
    <w:name w:val="Nadpis2"/>
    <w:basedOn w:val="Standard"/>
    <w:pPr>
      <w:spacing w:before="238" w:after="119"/>
    </w:pPr>
  </w:style>
  <w:style w:type="paragraph" w:customStyle="1" w:styleId="Ktovacra">
    <w:name w:val="Kótovací ?ára"/>
    <w:basedOn w:val="Standard"/>
  </w:style>
  <w:style w:type="paragraph" w:customStyle="1" w:styleId="VchozLTGliederung1">
    <w:name w:val="Výchozí~LT~Gliederung 1"/>
    <w:pPr>
      <w:autoSpaceDE w:val="0"/>
      <w:spacing w:after="283"/>
    </w:pPr>
    <w:rPr>
      <w:rFonts w:ascii="Mangal" w:eastAsia="Mangal" w:hAnsi="Mangal"/>
      <w:sz w:val="64"/>
      <w:szCs w:val="64"/>
    </w:rPr>
  </w:style>
  <w:style w:type="paragraph" w:customStyle="1" w:styleId="VchozLTGliederung2">
    <w:name w:val="Výchozí~LT~Gliederung 2"/>
    <w:basedOn w:val="VchozLTGliederung1"/>
    <w:pPr>
      <w:spacing w:after="227"/>
    </w:pPr>
    <w:rPr>
      <w:sz w:val="56"/>
      <w:szCs w:val="56"/>
    </w:rPr>
  </w:style>
  <w:style w:type="paragraph" w:customStyle="1" w:styleId="VchozLTGliederung3">
    <w:name w:val="Výchozí~LT~Gliederung 3"/>
    <w:basedOn w:val="VchozLTGliederung2"/>
    <w:pPr>
      <w:spacing w:after="170"/>
    </w:pPr>
    <w:rPr>
      <w:sz w:val="48"/>
      <w:szCs w:val="48"/>
    </w:rPr>
  </w:style>
  <w:style w:type="paragraph" w:customStyle="1" w:styleId="VchozLTGliederung4">
    <w:name w:val="Výchozí~LT~Gliederung 4"/>
    <w:basedOn w:val="VchozLTGliederung3"/>
    <w:pPr>
      <w:spacing w:after="113"/>
    </w:pPr>
    <w:rPr>
      <w:sz w:val="40"/>
      <w:szCs w:val="40"/>
    </w:rPr>
  </w:style>
  <w:style w:type="paragraph" w:customStyle="1" w:styleId="VchozLTGliederung5">
    <w:name w:val="Výchozí~LT~Gliederung 5"/>
    <w:basedOn w:val="VchozLTGliederung4"/>
    <w:pPr>
      <w:spacing w:after="57"/>
    </w:pPr>
  </w:style>
  <w:style w:type="paragraph" w:customStyle="1" w:styleId="VchozLTGliederung6">
    <w:name w:val="Výchozí~LT~Gliederung 6"/>
    <w:basedOn w:val="VchozLTGliederung5"/>
  </w:style>
  <w:style w:type="paragraph" w:customStyle="1" w:styleId="VchozLTGliederung7">
    <w:name w:val="Výchozí~LT~Gliederung 7"/>
    <w:basedOn w:val="VchozLTGliederung6"/>
  </w:style>
  <w:style w:type="paragraph" w:customStyle="1" w:styleId="VchozLTGliederung8">
    <w:name w:val="Výchozí~LT~Gliederung 8"/>
    <w:basedOn w:val="VchozLTGliederung7"/>
  </w:style>
  <w:style w:type="paragraph" w:customStyle="1" w:styleId="VchozLTGliederung9">
    <w:name w:val="Výchozí~LT~Gliederung 9"/>
    <w:basedOn w:val="VchozLTGliederung8"/>
  </w:style>
  <w:style w:type="paragraph" w:customStyle="1" w:styleId="VchozLTTitel">
    <w:name w:val="Výchozí~LT~Titel"/>
    <w:pPr>
      <w:autoSpaceDE w:val="0"/>
      <w:jc w:val="center"/>
    </w:pPr>
    <w:rPr>
      <w:rFonts w:ascii="Mangal" w:eastAsia="Mangal" w:hAnsi="Mangal"/>
      <w:sz w:val="88"/>
      <w:szCs w:val="88"/>
    </w:rPr>
  </w:style>
  <w:style w:type="paragraph" w:customStyle="1" w:styleId="VchozLTUntertitel">
    <w:name w:val="Výchozí~LT~Untertitel"/>
    <w:pPr>
      <w:autoSpaceDE w:val="0"/>
      <w:jc w:val="center"/>
    </w:pPr>
    <w:rPr>
      <w:rFonts w:ascii="Mangal" w:eastAsia="Mangal" w:hAnsi="Mangal"/>
      <w:sz w:val="64"/>
      <w:szCs w:val="64"/>
    </w:rPr>
  </w:style>
  <w:style w:type="paragraph" w:customStyle="1" w:styleId="VchozLTNotizen">
    <w:name w:val="Výchozí~LT~Notizen"/>
    <w:pPr>
      <w:autoSpaceDE w:val="0"/>
      <w:ind w:left="340" w:hanging="340"/>
    </w:pPr>
    <w:rPr>
      <w:rFonts w:ascii="Mangal" w:eastAsia="Mangal" w:hAnsi="Mangal"/>
      <w:sz w:val="40"/>
      <w:szCs w:val="40"/>
    </w:rPr>
  </w:style>
  <w:style w:type="paragraph" w:customStyle="1" w:styleId="VchozLTHintergrundobjekte">
    <w:name w:val="Výchozí~LT~Hintergrundobjekte"/>
    <w:pPr>
      <w:autoSpaceDE w:val="0"/>
    </w:pPr>
  </w:style>
  <w:style w:type="paragraph" w:customStyle="1" w:styleId="VchozLTHintergrund">
    <w:name w:val="Výchozí~LT~Hintergrund"/>
    <w:pPr>
      <w:autoSpaceDE w:val="0"/>
    </w:pPr>
  </w:style>
  <w:style w:type="paragraph" w:customStyle="1" w:styleId="default">
    <w:name w:val="default"/>
    <w:pPr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ulek">
    <w:name w:val="WW-Titulek"/>
    <w:pPr>
      <w:autoSpaceDE w:val="0"/>
    </w:pPr>
    <w:rPr>
      <w:rFonts w:ascii="Albany" w:eastAsia="Albany" w:hAnsi="Albany" w:cs="Albany"/>
      <w:b/>
      <w:bCs/>
      <w:i/>
      <w:iCs/>
      <w:color w:val="FF9966"/>
      <w:sz w:val="48"/>
      <w:szCs w:val="48"/>
    </w:rPr>
  </w:style>
  <w:style w:type="paragraph" w:styleId="Podtitul">
    <w:name w:val="Subtitle"/>
    <w:basedOn w:val="Heading"/>
    <w:next w:val="Textbody"/>
    <w:pPr>
      <w:jc w:val="center"/>
    </w:pPr>
    <w:rPr>
      <w:i/>
      <w:iCs/>
    </w:rPr>
  </w:style>
  <w:style w:type="paragraph" w:customStyle="1" w:styleId="Objektypozad">
    <w:name w:val="Objekty pozadí"/>
    <w:pPr>
      <w:autoSpaceDE w:val="0"/>
    </w:pPr>
    <w:rPr>
      <w:rFonts w:ascii="Thorndale" w:eastAsia="Thorndale" w:hAnsi="Thorndale" w:cs="Thorndale"/>
    </w:rPr>
  </w:style>
  <w:style w:type="paragraph" w:customStyle="1" w:styleId="Pozad">
    <w:name w:val="Pozadí"/>
    <w:pPr>
      <w:autoSpaceDE w:val="0"/>
    </w:pPr>
  </w:style>
  <w:style w:type="paragraph" w:customStyle="1" w:styleId="Poznmky">
    <w:name w:val="Poznámky"/>
    <w:pPr>
      <w:autoSpaceDE w:val="0"/>
    </w:pPr>
    <w:rPr>
      <w:rFonts w:ascii="Thorndale" w:eastAsia="Thorndale" w:hAnsi="Thorndale" w:cs="Thorndale"/>
      <w:color w:val="000000"/>
      <w:sz w:val="48"/>
      <w:szCs w:val="48"/>
    </w:rPr>
  </w:style>
  <w:style w:type="paragraph" w:customStyle="1" w:styleId="Osnova1">
    <w:name w:val="Osnova 1"/>
    <w:pPr>
      <w:autoSpaceDE w:val="0"/>
    </w:pPr>
    <w:rPr>
      <w:rFonts w:ascii="Thorndale" w:eastAsia="Thorndale" w:hAnsi="Thorndale" w:cs="Thorndale"/>
      <w:color w:val="E6E6E6"/>
      <w:sz w:val="48"/>
      <w:szCs w:val="48"/>
    </w:rPr>
  </w:style>
  <w:style w:type="paragraph" w:customStyle="1" w:styleId="Osnova2">
    <w:name w:val="Osnova 2"/>
    <w:basedOn w:val="Osnova1"/>
    <w:pPr>
      <w:ind w:hanging="454"/>
    </w:pPr>
    <w:rPr>
      <w:rFonts w:ascii="Mangal" w:eastAsia="Mangal" w:hAnsi="Mangal" w:cs="Mangal"/>
      <w:color w:val="auto"/>
      <w:sz w:val="64"/>
      <w:szCs w:val="64"/>
    </w:rPr>
  </w:style>
  <w:style w:type="paragraph" w:customStyle="1" w:styleId="Osnova3">
    <w:name w:val="Osnova 3"/>
    <w:basedOn w:val="Osnova2"/>
    <w:pPr>
      <w:ind w:hanging="340"/>
    </w:pPr>
    <w:rPr>
      <w:sz w:val="56"/>
      <w:szCs w:val="56"/>
    </w:rPr>
  </w:style>
  <w:style w:type="paragraph" w:customStyle="1" w:styleId="Osnova4">
    <w:name w:val="Osnova 4"/>
    <w:basedOn w:val="Osnova3"/>
    <w:rPr>
      <w:sz w:val="48"/>
      <w:szCs w:val="48"/>
    </w:rPr>
  </w:style>
  <w:style w:type="paragraph" w:customStyle="1" w:styleId="Osnova5">
    <w:name w:val="Osnova 5"/>
    <w:basedOn w:val="Osnova4"/>
    <w:rPr>
      <w:sz w:val="40"/>
      <w:szCs w:val="40"/>
    </w:rPr>
  </w:style>
  <w:style w:type="paragraph" w:customStyle="1" w:styleId="Osnova6">
    <w:name w:val="Osnova 6"/>
    <w:basedOn w:val="Osnova5"/>
  </w:style>
  <w:style w:type="paragraph" w:customStyle="1" w:styleId="Osnova7">
    <w:name w:val="Osnova 7"/>
    <w:basedOn w:val="Osnova6"/>
  </w:style>
  <w:style w:type="paragraph" w:customStyle="1" w:styleId="Osnova8">
    <w:name w:val="Osnova 8"/>
    <w:basedOn w:val="Osnova7"/>
  </w:style>
  <w:style w:type="paragraph" w:customStyle="1" w:styleId="Osnova9">
    <w:name w:val="Osnova 9"/>
    <w:basedOn w:val="Osnova8"/>
  </w:style>
  <w:style w:type="paragraph" w:customStyle="1" w:styleId="lyt-darkblueLTGliederung1">
    <w:name w:val="lyt-darkblue~LT~Gliederung 1"/>
    <w:pPr>
      <w:autoSpaceDE w:val="0"/>
    </w:pPr>
    <w:rPr>
      <w:rFonts w:ascii="Thorndale" w:eastAsia="Thorndale" w:hAnsi="Thorndale" w:cs="Thorndale"/>
      <w:color w:val="E6E6E6"/>
      <w:sz w:val="48"/>
      <w:szCs w:val="48"/>
    </w:rPr>
  </w:style>
  <w:style w:type="paragraph" w:customStyle="1" w:styleId="lyt-darkblueLTGliederung2">
    <w:name w:val="lyt-darkblue~LT~Gliederung 2"/>
    <w:basedOn w:val="VchozLTGliederung1"/>
    <w:pPr>
      <w:spacing w:after="0"/>
      <w:ind w:hanging="454"/>
    </w:pPr>
  </w:style>
  <w:style w:type="paragraph" w:customStyle="1" w:styleId="lyt-darkblueLTGliederung3">
    <w:name w:val="lyt-darkblue~LT~Gliederung 3"/>
    <w:basedOn w:val="VchozLTGliederung2"/>
    <w:pPr>
      <w:spacing w:after="0"/>
      <w:ind w:hanging="340"/>
    </w:pPr>
  </w:style>
  <w:style w:type="paragraph" w:customStyle="1" w:styleId="lyt-darkblueLTGliederung4">
    <w:name w:val="lyt-darkblue~LT~Gliederung 4"/>
    <w:basedOn w:val="VchozLTGliederung3"/>
    <w:pPr>
      <w:spacing w:after="0"/>
      <w:ind w:hanging="340"/>
    </w:pPr>
  </w:style>
  <w:style w:type="paragraph" w:customStyle="1" w:styleId="lyt-darkblueLTGliederung5">
    <w:name w:val="lyt-darkblue~LT~Gliederung 5"/>
    <w:basedOn w:val="VchozLTGliederung4"/>
    <w:pPr>
      <w:spacing w:after="0"/>
      <w:ind w:hanging="340"/>
    </w:pPr>
  </w:style>
  <w:style w:type="paragraph" w:customStyle="1" w:styleId="lyt-darkblueLTGliederung6">
    <w:name w:val="lyt-darkblue~LT~Gliederung 6"/>
    <w:basedOn w:val="VchozLTGliederung5"/>
    <w:pPr>
      <w:spacing w:after="0"/>
      <w:ind w:hanging="340"/>
    </w:pPr>
  </w:style>
  <w:style w:type="paragraph" w:customStyle="1" w:styleId="lyt-darkblueLTGliederung7">
    <w:name w:val="lyt-darkblue~LT~Gliederung 7"/>
    <w:basedOn w:val="VchozLTGliederung6"/>
    <w:pPr>
      <w:spacing w:after="0"/>
      <w:ind w:hanging="340"/>
    </w:pPr>
  </w:style>
  <w:style w:type="paragraph" w:customStyle="1" w:styleId="lyt-darkblueLTGliederung8">
    <w:name w:val="lyt-darkblue~LT~Gliederung 8"/>
    <w:basedOn w:val="VchozLTGliederung7"/>
    <w:pPr>
      <w:spacing w:after="0"/>
      <w:ind w:hanging="340"/>
    </w:pPr>
  </w:style>
  <w:style w:type="paragraph" w:customStyle="1" w:styleId="lyt-darkblueLTGliederung9">
    <w:name w:val="lyt-darkblue~LT~Gliederung 9"/>
    <w:basedOn w:val="VchozLTGliederung8"/>
    <w:pPr>
      <w:spacing w:after="0"/>
      <w:ind w:hanging="340"/>
    </w:pPr>
  </w:style>
  <w:style w:type="paragraph" w:customStyle="1" w:styleId="lyt-darkblueLTTitel">
    <w:name w:val="lyt-darkblue~LT~Titel"/>
    <w:pPr>
      <w:autoSpaceDE w:val="0"/>
    </w:pPr>
    <w:rPr>
      <w:rFonts w:ascii="Albany" w:eastAsia="Albany" w:hAnsi="Albany" w:cs="Albany"/>
      <w:b/>
      <w:bCs/>
      <w:i/>
      <w:iCs/>
      <w:color w:val="FF9966"/>
      <w:sz w:val="48"/>
      <w:szCs w:val="48"/>
    </w:rPr>
  </w:style>
  <w:style w:type="paragraph" w:customStyle="1" w:styleId="lyt-darkblueLTUntertitel">
    <w:name w:val="lyt-darkblue~LT~Untertitel"/>
    <w:pPr>
      <w:autoSpaceDE w:val="0"/>
      <w:ind w:hanging="340"/>
      <w:jc w:val="center"/>
    </w:pPr>
    <w:rPr>
      <w:rFonts w:ascii="Thorndale" w:eastAsia="Thorndale" w:hAnsi="Thorndale" w:cs="Thorndale"/>
      <w:color w:val="CCCCCC"/>
      <w:sz w:val="48"/>
      <w:szCs w:val="48"/>
    </w:rPr>
  </w:style>
  <w:style w:type="paragraph" w:customStyle="1" w:styleId="lyt-darkblueLTNotizen">
    <w:name w:val="lyt-darkblue~LT~Notizen"/>
    <w:pPr>
      <w:autoSpaceDE w:val="0"/>
    </w:pPr>
    <w:rPr>
      <w:rFonts w:ascii="Thorndale" w:eastAsia="Thorndale" w:hAnsi="Thorndale" w:cs="Thorndale"/>
      <w:color w:val="000000"/>
      <w:sz w:val="48"/>
      <w:szCs w:val="48"/>
    </w:rPr>
  </w:style>
  <w:style w:type="paragraph" w:customStyle="1" w:styleId="lyt-darkblueLTHintergrundobjekte">
    <w:name w:val="lyt-darkblue~LT~Hintergrundobjekte"/>
    <w:pPr>
      <w:autoSpaceDE w:val="0"/>
    </w:pPr>
    <w:rPr>
      <w:rFonts w:ascii="Thorndale" w:eastAsia="Thorndale" w:hAnsi="Thorndale" w:cs="Thorndale"/>
    </w:rPr>
  </w:style>
  <w:style w:type="paragraph" w:customStyle="1" w:styleId="lyt-darkblueLTHintergrund">
    <w:name w:val="lyt-darkblue~LT~Hintergrund"/>
    <w:pPr>
      <w:autoSpaceDE w:val="0"/>
    </w:pPr>
  </w:style>
  <w:style w:type="paragraph" w:customStyle="1" w:styleId="WW-Titulek1">
    <w:name w:val="WW-Titulek1"/>
    <w:pPr>
      <w:autoSpaceDE w:val="0"/>
    </w:pPr>
    <w:rPr>
      <w:rFonts w:ascii="Albany" w:eastAsia="Albany" w:hAnsi="Albany" w:cs="Albany"/>
      <w:b/>
      <w:bCs/>
      <w:i/>
      <w:iCs/>
      <w:color w:val="FF9966"/>
      <w:sz w:val="48"/>
      <w:szCs w:val="48"/>
    </w:rPr>
  </w:style>
  <w:style w:type="paragraph" w:customStyle="1" w:styleId="WW-Titulek12">
    <w:name w:val="WW-Titulek12"/>
    <w:pPr>
      <w:autoSpaceDE w:val="0"/>
    </w:pPr>
    <w:rPr>
      <w:rFonts w:ascii="Albany" w:eastAsia="Albany" w:hAnsi="Albany" w:cs="Albany"/>
      <w:b/>
      <w:bCs/>
      <w:i/>
      <w:iCs/>
      <w:color w:val="FF9966"/>
      <w:sz w:val="48"/>
      <w:szCs w:val="48"/>
    </w:rPr>
  </w:style>
  <w:style w:type="paragraph" w:customStyle="1" w:styleId="WW-Titulek123">
    <w:name w:val="WW-Titulek123"/>
    <w:pPr>
      <w:autoSpaceDE w:val="0"/>
    </w:pPr>
    <w:rPr>
      <w:rFonts w:ascii="Albany" w:eastAsia="Albany" w:hAnsi="Albany" w:cs="Albany"/>
      <w:b/>
      <w:bCs/>
      <w:i/>
      <w:iCs/>
      <w:color w:val="FF9966"/>
      <w:sz w:val="48"/>
      <w:szCs w:val="48"/>
    </w:rPr>
  </w:style>
  <w:style w:type="paragraph" w:customStyle="1" w:styleId="WW-Titulek1234">
    <w:name w:val="WW-Titulek1234"/>
    <w:pPr>
      <w:autoSpaceDE w:val="0"/>
    </w:pPr>
    <w:rPr>
      <w:rFonts w:ascii="Albany" w:eastAsia="Albany" w:hAnsi="Albany" w:cs="Albany"/>
      <w:b/>
      <w:bCs/>
      <w:i/>
      <w:iCs/>
      <w:color w:val="FF9966"/>
      <w:sz w:val="48"/>
      <w:szCs w:val="48"/>
    </w:rPr>
  </w:style>
  <w:style w:type="paragraph" w:customStyle="1" w:styleId="WW-Titulek12345">
    <w:name w:val="WW-Titulek12345"/>
    <w:pPr>
      <w:autoSpaceDE w:val="0"/>
    </w:pPr>
    <w:rPr>
      <w:rFonts w:ascii="Albany" w:eastAsia="Albany" w:hAnsi="Albany" w:cs="Albany"/>
      <w:b/>
      <w:bCs/>
      <w:i/>
      <w:iCs/>
      <w:color w:val="FF9966"/>
      <w:sz w:val="48"/>
      <w:szCs w:val="48"/>
    </w:rPr>
  </w:style>
  <w:style w:type="paragraph" w:customStyle="1" w:styleId="WW-Titulek123456">
    <w:name w:val="WW-Titulek123456"/>
    <w:pPr>
      <w:autoSpaceDE w:val="0"/>
    </w:pPr>
    <w:rPr>
      <w:rFonts w:ascii="Albany" w:eastAsia="Albany" w:hAnsi="Albany" w:cs="Albany"/>
      <w:b/>
      <w:bCs/>
      <w:i/>
      <w:iCs/>
      <w:color w:val="FF9966"/>
      <w:sz w:val="48"/>
      <w:szCs w:val="48"/>
    </w:rPr>
  </w:style>
  <w:style w:type="paragraph" w:customStyle="1" w:styleId="WW-Titulek1234567">
    <w:name w:val="WW-Titulek1234567"/>
    <w:pPr>
      <w:autoSpaceDE w:val="0"/>
    </w:pPr>
    <w:rPr>
      <w:rFonts w:ascii="Albany" w:eastAsia="Albany" w:hAnsi="Albany" w:cs="Albany"/>
      <w:b/>
      <w:bCs/>
      <w:i/>
      <w:iCs/>
      <w:color w:val="FF9966"/>
      <w:sz w:val="48"/>
      <w:szCs w:val="48"/>
    </w:rPr>
  </w:style>
  <w:style w:type="paragraph" w:customStyle="1" w:styleId="WW-Titulek12345678">
    <w:name w:val="WW-Titulek12345678"/>
    <w:pPr>
      <w:autoSpaceDE w:val="0"/>
    </w:pPr>
    <w:rPr>
      <w:rFonts w:ascii="Albany" w:eastAsia="Albany" w:hAnsi="Albany" w:cs="Albany"/>
      <w:b/>
      <w:bCs/>
      <w:i/>
      <w:iCs/>
      <w:color w:val="FF9966"/>
      <w:sz w:val="48"/>
      <w:szCs w:val="48"/>
    </w:rPr>
  </w:style>
  <w:style w:type="paragraph" w:customStyle="1" w:styleId="WW-Titulek123456789">
    <w:name w:val="WW-Titulek123456789"/>
    <w:pPr>
      <w:autoSpaceDE w:val="0"/>
    </w:pPr>
    <w:rPr>
      <w:rFonts w:ascii="Albany" w:eastAsia="Albany" w:hAnsi="Albany" w:cs="Albany"/>
      <w:b/>
      <w:bCs/>
      <w:i/>
      <w:iCs/>
      <w:color w:val="FF9966"/>
      <w:sz w:val="48"/>
      <w:szCs w:val="48"/>
    </w:rPr>
  </w:style>
  <w:style w:type="paragraph" w:customStyle="1" w:styleId="WW-Titulek12345678910">
    <w:name w:val="WW-Titulek12345678910"/>
    <w:pPr>
      <w:autoSpaceDE w:val="0"/>
    </w:pPr>
    <w:rPr>
      <w:rFonts w:ascii="Albany" w:eastAsia="Albany" w:hAnsi="Albany" w:cs="Albany"/>
      <w:b/>
      <w:bCs/>
      <w:i/>
      <w:iCs/>
      <w:color w:val="FF9966"/>
      <w:sz w:val="48"/>
      <w:szCs w:val="48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ogy.net/databaze-kontakt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2766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2</cp:revision>
  <dcterms:created xsi:type="dcterms:W3CDTF">2016-01-29T13:44:00Z</dcterms:created>
  <dcterms:modified xsi:type="dcterms:W3CDTF">2016-01-29T13:44:00Z</dcterms:modified>
</cp:coreProperties>
</file>