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5BF" w:rsidRDefault="004505BF">
      <w:pPr>
        <w:pStyle w:val="Standard"/>
      </w:pPr>
      <w:bookmarkStart w:id="0" w:name="_GoBack"/>
      <w:bookmarkEnd w:id="0"/>
    </w:p>
    <w:p w:rsidR="004505BF" w:rsidRDefault="002D4F7B">
      <w:pPr>
        <w:pStyle w:val="Nadpis7"/>
        <w:jc w:val="center"/>
        <w:rPr>
          <w:rFonts w:cs="Arial"/>
          <w:b w:val="0"/>
          <w:sz w:val="36"/>
          <w:szCs w:val="36"/>
        </w:rPr>
      </w:pPr>
      <w:r>
        <w:rPr>
          <w:rFonts w:cs="Arial"/>
          <w:b w:val="0"/>
          <w:sz w:val="36"/>
          <w:szCs w:val="36"/>
        </w:rPr>
        <w:t>Evangelická teologická fakulta Univerzity Karlovy</w:t>
      </w:r>
    </w:p>
    <w:p w:rsidR="004505BF" w:rsidRDefault="002D4F7B">
      <w:pPr>
        <w:pStyle w:val="Standard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Černá 9, 115 55 Praha 1</w:t>
      </w:r>
    </w:p>
    <w:p w:rsidR="004505BF" w:rsidRDefault="004505BF">
      <w:pPr>
        <w:pStyle w:val="Standard"/>
        <w:rPr>
          <w:rFonts w:ascii="Arial" w:hAnsi="Arial" w:cs="Arial"/>
          <w:sz w:val="36"/>
          <w:szCs w:val="36"/>
        </w:rPr>
      </w:pPr>
    </w:p>
    <w:p w:rsidR="004505BF" w:rsidRDefault="004505BF">
      <w:pPr>
        <w:pStyle w:val="Standard"/>
        <w:rPr>
          <w:rFonts w:ascii="Arial" w:hAnsi="Arial" w:cs="Arial"/>
          <w:sz w:val="36"/>
          <w:szCs w:val="36"/>
        </w:rPr>
      </w:pPr>
    </w:p>
    <w:p w:rsidR="004505BF" w:rsidRDefault="004505BF">
      <w:pPr>
        <w:pStyle w:val="Standard"/>
        <w:rPr>
          <w:rFonts w:ascii="Arial" w:hAnsi="Arial" w:cs="Arial"/>
          <w:sz w:val="36"/>
          <w:szCs w:val="36"/>
        </w:rPr>
      </w:pPr>
    </w:p>
    <w:p w:rsidR="004505BF" w:rsidRDefault="004505BF">
      <w:pPr>
        <w:pStyle w:val="Standard"/>
        <w:rPr>
          <w:rFonts w:ascii="Arial" w:hAnsi="Arial" w:cs="Arial"/>
          <w:sz w:val="36"/>
          <w:szCs w:val="36"/>
        </w:rPr>
      </w:pPr>
    </w:p>
    <w:p w:rsidR="004505BF" w:rsidRDefault="004505BF">
      <w:pPr>
        <w:pStyle w:val="Standard"/>
        <w:rPr>
          <w:rFonts w:ascii="Arial" w:hAnsi="Arial" w:cs="Arial"/>
          <w:sz w:val="36"/>
          <w:szCs w:val="36"/>
        </w:rPr>
      </w:pPr>
    </w:p>
    <w:p w:rsidR="004505BF" w:rsidRDefault="002D4F7B">
      <w:pPr>
        <w:pStyle w:val="Standard"/>
        <w:spacing w:line="360" w:lineRule="auto"/>
        <w:jc w:val="center"/>
        <w:rPr>
          <w:rFonts w:ascii="Arial" w:hAnsi="Arial" w:cs="Arial"/>
          <w:sz w:val="28"/>
          <w:szCs w:val="36"/>
        </w:rPr>
      </w:pPr>
      <w:r>
        <w:rPr>
          <w:rFonts w:ascii="Arial" w:hAnsi="Arial" w:cs="Arial"/>
          <w:sz w:val="28"/>
          <w:szCs w:val="36"/>
        </w:rPr>
        <w:t>Kolektivní práce:</w:t>
      </w:r>
    </w:p>
    <w:p w:rsidR="004505BF" w:rsidRDefault="002D4F7B">
      <w:pPr>
        <w:pStyle w:val="Standard"/>
        <w:spacing w:line="360" w:lineRule="auto"/>
        <w:jc w:val="center"/>
      </w:pPr>
      <w:r>
        <w:rPr>
          <w:rFonts w:ascii="Arial" w:hAnsi="Arial" w:cs="Arial"/>
          <w:b/>
          <w:sz w:val="28"/>
          <w:szCs w:val="36"/>
        </w:rPr>
        <w:t>Petra Fausová, Niké Christodulu, Marie Kůdelová</w:t>
      </w: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  <w:b/>
          <w:sz w:val="28"/>
          <w:szCs w:val="36"/>
        </w:rPr>
      </w:pPr>
    </w:p>
    <w:p w:rsidR="004505BF" w:rsidRDefault="002D4F7B">
      <w:pPr>
        <w:pStyle w:val="Standard"/>
        <w:spacing w:line="360" w:lineRule="auto"/>
        <w:jc w:val="center"/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>Pastorační a sociální práce</w:t>
      </w:r>
    </w:p>
    <w:p w:rsidR="004505BF" w:rsidRDefault="002D4F7B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2. roč.</w:t>
      </w:r>
      <w:r>
        <w:rPr>
          <w:rFonts w:ascii="Arial" w:hAnsi="Arial" w:cs="Arial"/>
        </w:rPr>
        <w:t xml:space="preserve"> KS</w:t>
      </w:r>
    </w:p>
    <w:p w:rsidR="004505BF" w:rsidRDefault="002D4F7B">
      <w:pPr>
        <w:pStyle w:val="Standard"/>
        <w:spacing w:line="360" w:lineRule="auto"/>
        <w:jc w:val="center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Rizikové skupiny I + II</w:t>
      </w: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jc w:val="center"/>
        <w:rPr>
          <w:rFonts w:ascii="Arial" w:hAnsi="Arial" w:cs="Arial"/>
          <w:b/>
          <w:bCs/>
          <w:sz w:val="40"/>
          <w:szCs w:val="28"/>
        </w:rPr>
      </w:pPr>
      <w:r>
        <w:rPr>
          <w:rFonts w:ascii="Arial" w:hAnsi="Arial" w:cs="Arial"/>
          <w:b/>
          <w:bCs/>
          <w:sz w:val="40"/>
          <w:szCs w:val="28"/>
        </w:rPr>
        <w:t>Syndrom CAN</w:t>
      </w: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Praha 2016</w:t>
      </w:r>
    </w:p>
    <w:p w:rsidR="004505BF" w:rsidRDefault="004505BF">
      <w:pPr>
        <w:pStyle w:val="Standard"/>
        <w:spacing w:line="360" w:lineRule="auto"/>
        <w:jc w:val="center"/>
        <w:rPr>
          <w:rFonts w:ascii="Arial" w:hAnsi="Arial" w:cs="Arial"/>
        </w:rPr>
      </w:pPr>
    </w:p>
    <w:p w:rsidR="004505BF" w:rsidRDefault="004505BF">
      <w:pPr>
        <w:pageBreakBefore/>
        <w:suppressAutoHyphens w:val="0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Obsah</w:t>
      </w:r>
    </w:p>
    <w:p w:rsidR="004505BF" w:rsidRDefault="002D4F7B">
      <w:pPr>
        <w:pStyle w:val="Standard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1. Úvod</w:t>
      </w:r>
    </w:p>
    <w:p w:rsidR="004505BF" w:rsidRDefault="002D4F7B">
      <w:pPr>
        <w:pStyle w:val="Standard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 Vymezení pojmu a jeho členění</w:t>
      </w:r>
    </w:p>
    <w:p w:rsidR="004505BF" w:rsidRDefault="002D4F7B">
      <w:pPr>
        <w:pStyle w:val="Standard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2.1 Tělesné týrání</w:t>
      </w:r>
    </w:p>
    <w:p w:rsidR="004505BF" w:rsidRDefault="002D4F7B">
      <w:pPr>
        <w:pStyle w:val="Standard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  <w:t>2.2 Sexuální zneužívání</w:t>
      </w:r>
    </w:p>
    <w:p w:rsidR="004505BF" w:rsidRDefault="002D4F7B">
      <w:pPr>
        <w:pStyle w:val="Standard"/>
        <w:spacing w:line="360" w:lineRule="auto"/>
        <w:ind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2.3 Zanedbávání</w:t>
      </w:r>
    </w:p>
    <w:p w:rsidR="004505BF" w:rsidRDefault="002D4F7B">
      <w:pPr>
        <w:pStyle w:val="Standard"/>
        <w:spacing w:line="360" w:lineRule="auto"/>
        <w:ind w:firstLine="709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2.4 Emoční (citové) týrání</w:t>
      </w:r>
    </w:p>
    <w:p w:rsidR="004505BF" w:rsidRDefault="002D4F7B">
      <w:pPr>
        <w:pStyle w:val="Standard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3. Projevy a příznaky syndromu CAN</w:t>
      </w:r>
    </w:p>
    <w:p w:rsidR="004505BF" w:rsidRDefault="002D4F7B">
      <w:pPr>
        <w:pStyle w:val="Standard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4. Krizová </w:t>
      </w:r>
      <w:r>
        <w:rPr>
          <w:rFonts w:ascii="Arial" w:hAnsi="Arial" w:cs="Arial"/>
          <w:sz w:val="28"/>
        </w:rPr>
        <w:t>intervence a péče o oběti</w:t>
      </w:r>
    </w:p>
    <w:p w:rsidR="004505BF" w:rsidRDefault="002D4F7B">
      <w:pPr>
        <w:pStyle w:val="Standard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5. Primární, sekundární a terciární prevence, služby ve vybrané lokalitě</w:t>
      </w:r>
    </w:p>
    <w:p w:rsidR="004505BF" w:rsidRDefault="002D4F7B">
      <w:pPr>
        <w:pStyle w:val="Standard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6. Závěr</w:t>
      </w:r>
    </w:p>
    <w:p w:rsidR="004505BF" w:rsidRDefault="002D4F7B">
      <w:pPr>
        <w:pStyle w:val="Standard"/>
        <w:spacing w:line="360" w:lineRule="auto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7. Použitá literatura a zdroje</w:t>
      </w:r>
    </w:p>
    <w:p w:rsidR="00000000" w:rsidRDefault="002D4F7B">
      <w:pPr>
        <w:sectPr w:rsidR="00000000">
          <w:footerReference w:type="default" r:id="rId7"/>
          <w:pgSz w:w="11905" w:h="16837"/>
          <w:pgMar w:top="708" w:right="1411" w:bottom="1134" w:left="1710" w:header="708" w:footer="708" w:gutter="0"/>
          <w:cols w:space="708"/>
        </w:sectPr>
      </w:pPr>
    </w:p>
    <w:p w:rsidR="004505BF" w:rsidRDefault="002D4F7B">
      <w:pPr>
        <w:pStyle w:val="Standard"/>
        <w:pageBreakBefore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bCs/>
          <w:sz w:val="28"/>
        </w:rPr>
      </w:pPr>
      <w:r>
        <w:rPr>
          <w:rFonts w:ascii="Arial" w:hAnsi="Arial"/>
          <w:b/>
          <w:bCs/>
          <w:sz w:val="28"/>
        </w:rPr>
        <w:lastRenderedPageBreak/>
        <w:t>Úvod</w:t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</w:rPr>
        <w:t>S proměnou společnosti také postavení dítěte procházelo svým vývojem. Děti byly využívány k rituálním obětem, k</w:t>
      </w:r>
      <w:r>
        <w:rPr>
          <w:rFonts w:ascii="Arial" w:hAnsi="Arial"/>
        </w:rPr>
        <w:t xml:space="preserve"> pomstě klanových válek, k dětské práci aj.</w:t>
      </w:r>
      <w:r>
        <w:rPr>
          <w:rStyle w:val="Znakapoznpodarou"/>
          <w:rFonts w:ascii="Arial" w:hAnsi="Arial"/>
        </w:rPr>
        <w:footnoteReference w:id="1"/>
      </w:r>
      <w:r>
        <w:rPr>
          <w:rFonts w:ascii="Arial" w:hAnsi="Arial"/>
        </w:rPr>
        <w:t xml:space="preserve"> Zrovna tak nelze celosvětově paušalizovat pojetí dítěte, jak je</w:t>
      </w:r>
      <w:r>
        <w:rPr>
          <w:rFonts w:ascii="Arial" w:hAnsi="Arial"/>
        </w:rPr>
        <w:t xml:space="preserve"> chápáno a uznáváno v naší společnosti podle našich hodnot a norem.</w:t>
      </w: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/>
        </w:rPr>
        <w:tab/>
        <w:t xml:space="preserve">Od konce 19. století se začínají vytvářet organizace na ochranu dětí a 20. století dokonce neslo označení „století dítěte“. </w:t>
      </w:r>
      <w:r>
        <w:rPr>
          <w:rFonts w:ascii="Arial" w:hAnsi="Arial"/>
          <w:i/>
        </w:rPr>
        <w:t>„Denně však přesto umírá na světě 40 000 dětí, nespočet dětí je</w:t>
      </w:r>
      <w:r>
        <w:rPr>
          <w:rFonts w:ascii="Arial" w:hAnsi="Arial"/>
          <w:i/>
        </w:rPr>
        <w:t xml:space="preserve"> vystaveno násilí, diskriminaci, apartheidu a agresi, milióny dětí má denně hlad a zůstává bez vzdělání. Výsměch právům dítěte? Ne, ale problém neřešitelný do té doby, kdy se celý svět nespojí, aby ochránil životy, zdraví a zdravý vývoj svých dětí.“</w:t>
      </w:r>
      <w:r>
        <w:rPr>
          <w:rStyle w:val="Znakapoznpodarou"/>
          <w:rFonts w:ascii="Arial" w:hAnsi="Arial"/>
          <w:i/>
        </w:rPr>
        <w:footnoteReference w:id="2"/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</w:rPr>
        <w:t xml:space="preserve">Mezi nejvýznamnější </w:t>
      </w:r>
      <w:r>
        <w:rPr>
          <w:rFonts w:ascii="Arial" w:hAnsi="Arial"/>
        </w:rPr>
        <w:t xml:space="preserve">mezinárodní dokumenty, které mají za úkol ochránit život, zdraví a důstojnost dětí, patří </w:t>
      </w:r>
      <w:r>
        <w:rPr>
          <w:rFonts w:ascii="Arial" w:hAnsi="Arial"/>
          <w:i/>
        </w:rPr>
        <w:t xml:space="preserve">Úmluva o právech dítěte </w:t>
      </w:r>
      <w:r>
        <w:rPr>
          <w:rFonts w:ascii="Arial" w:hAnsi="Arial"/>
        </w:rPr>
        <w:t>z roku 1989, k níž se přihlásily a ratifikovaly ji bezmála všechny státy světa. Česká republika, resp. ČSFR tak učinila 7. 1. 1991.</w:t>
      </w:r>
      <w:r>
        <w:rPr>
          <w:rStyle w:val="Znakapoznpodarou"/>
          <w:rFonts w:ascii="Arial" w:hAnsi="Arial"/>
        </w:rPr>
        <w:footnoteReference w:id="3"/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</w:rPr>
        <w:t>Utrpení dětí však není problémem „pouze“ rozvojových zemí – setkáváme se s ním i ve vyspělých státech. I zde se setkáváme s různými podobami týrání, mučení, otroctví, šlapání po lidské důstojnosti, omezováním svobody, ohrožováním života apod. V polovině 2</w:t>
      </w:r>
      <w:r>
        <w:rPr>
          <w:rFonts w:ascii="Arial" w:hAnsi="Arial"/>
        </w:rPr>
        <w:t xml:space="preserve">0. století začali lékaři pozorovat neobvyklá poranění dětí – tato poranění rozhodně neodpovídala obyčejnému úrazu. Této oblasti se postupně dostávalo větší pozornosti, až v roce 1962 byl zaveden a popsán </w:t>
      </w:r>
      <w:r>
        <w:rPr>
          <w:rFonts w:ascii="Arial" w:hAnsi="Arial"/>
          <w:i/>
        </w:rPr>
        <w:t>syndrom bitého dítěte</w:t>
      </w:r>
      <w:r>
        <w:rPr>
          <w:rFonts w:ascii="Arial" w:hAnsi="Arial"/>
        </w:rPr>
        <w:t xml:space="preserve"> (</w:t>
      </w:r>
      <w:r>
        <w:rPr>
          <w:rFonts w:ascii="Arial" w:hAnsi="Arial"/>
          <w:i/>
        </w:rPr>
        <w:t>battered child syndrom</w:t>
      </w:r>
      <w:r>
        <w:rPr>
          <w:rFonts w:ascii="Arial" w:hAnsi="Arial"/>
        </w:rPr>
        <w:t>).</w:t>
      </w:r>
      <w:r>
        <w:rPr>
          <w:rStyle w:val="Znakapoznpodarou"/>
          <w:rFonts w:ascii="Arial" w:hAnsi="Arial"/>
        </w:rPr>
        <w:footnoteReference w:id="4"/>
      </w:r>
      <w:r>
        <w:rPr>
          <w:rFonts w:ascii="Arial" w:hAnsi="Arial"/>
        </w:rPr>
        <w:t xml:space="preserve"> Definice syndromu CAN se začíná uvádět od roku 1990 na půdě OSN, znamená </w:t>
      </w:r>
      <w:r>
        <w:rPr>
          <w:rFonts w:ascii="Arial" w:hAnsi="Arial"/>
          <w:i/>
          <w:iCs/>
        </w:rPr>
        <w:t>Child Abuse and Neglect</w:t>
      </w:r>
      <w:r>
        <w:rPr>
          <w:rFonts w:ascii="Arial" w:hAnsi="Arial"/>
        </w:rPr>
        <w:t xml:space="preserve">, tedy </w:t>
      </w:r>
      <w:r>
        <w:rPr>
          <w:rFonts w:ascii="Arial" w:hAnsi="Arial"/>
          <w:i/>
        </w:rPr>
        <w:t>syndrom týraného, zneužívaného a zanedbávaného dítěte</w:t>
      </w:r>
      <w:r>
        <w:rPr>
          <w:rFonts w:ascii="Arial" w:hAnsi="Arial"/>
        </w:rPr>
        <w:t>.</w:t>
      </w:r>
      <w:r>
        <w:rPr>
          <w:rStyle w:val="Znakapoznpodarou"/>
          <w:rFonts w:ascii="Arial" w:hAnsi="Arial"/>
        </w:rPr>
        <w:footnoteReference w:id="5"/>
      </w:r>
    </w:p>
    <w:p w:rsidR="004505BF" w:rsidRDefault="002D4F7B">
      <w:pPr>
        <w:pStyle w:val="Standard"/>
        <w:spacing w:line="360" w:lineRule="auto"/>
        <w:jc w:val="both"/>
      </w:pPr>
      <w:r>
        <w:rPr>
          <w:rStyle w:val="Znakapoznpodarou"/>
          <w:rFonts w:ascii="Arial" w:hAnsi="Arial"/>
        </w:rPr>
        <w:tab/>
      </w:r>
      <w:r>
        <w:rPr>
          <w:rFonts w:ascii="Arial" w:hAnsi="Arial"/>
        </w:rPr>
        <w:t>Cílem této práce je krátké shrnutí syndromu CAN jako samostatného fe</w:t>
      </w:r>
      <w:r>
        <w:rPr>
          <w:rFonts w:ascii="Arial" w:hAnsi="Arial"/>
        </w:rPr>
        <w:t>noménu, od jeho definice, přes projevy a příznaky, po možnosti krizové intervence, typů preventivních opatření a služeb poskytovaných v současné době na území České republiky.</w:t>
      </w:r>
    </w:p>
    <w:p w:rsidR="004505BF" w:rsidRDefault="004505BF">
      <w:pPr>
        <w:pStyle w:val="Standard"/>
        <w:spacing w:line="360" w:lineRule="auto"/>
        <w:jc w:val="both"/>
      </w:pPr>
    </w:p>
    <w:p w:rsidR="004505BF" w:rsidRDefault="002D4F7B">
      <w:pPr>
        <w:pStyle w:val="Standard"/>
        <w:numPr>
          <w:ilvl w:val="0"/>
          <w:numId w:val="1"/>
        </w:numPr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Vymezení pojmu a jeho členění</w:t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</w:rPr>
        <w:lastRenderedPageBreak/>
        <w:t xml:space="preserve">Výstižnou definici vyjádřili autoři následovně: </w:t>
      </w:r>
      <w:r>
        <w:rPr>
          <w:rFonts w:ascii="Arial" w:hAnsi="Arial"/>
          <w:i/>
        </w:rPr>
        <w:t>„</w:t>
      </w:r>
      <w:r>
        <w:rPr>
          <w:rFonts w:ascii="Arial" w:hAnsi="Arial"/>
          <w:i/>
        </w:rPr>
        <w:t>Za týrání, zanedbávání a zneužívání dítěte je považováno jakékoli nenáhodné a vědomé jednání rodiče, vychovatele nebo jiné osoby vůči dítěti, jež je v dané společnosti nepřijatelné nebo odmítané a jež poškozuje tělesný, duševní i společenský stav a vývoj d</w:t>
      </w:r>
      <w:r>
        <w:rPr>
          <w:rFonts w:ascii="Arial" w:hAnsi="Arial"/>
          <w:i/>
        </w:rPr>
        <w:t>ítěte, případně způsobuje jeho smrt.“</w:t>
      </w:r>
      <w:r>
        <w:rPr>
          <w:rStyle w:val="Znakapoznpodarou"/>
          <w:rFonts w:ascii="Arial" w:hAnsi="Arial"/>
        </w:rPr>
        <w:footnoteReference w:id="6"/>
      </w:r>
      <w:r>
        <w:rPr>
          <w:rFonts w:ascii="Arial" w:hAnsi="Arial"/>
        </w:rPr>
        <w:t xml:space="preserve"> Dopad na emocionální stránku dítěte je o to horší, pokud aktéry jsou osoby nejb</w:t>
      </w:r>
      <w:r>
        <w:rPr>
          <w:rFonts w:ascii="Arial" w:hAnsi="Arial"/>
        </w:rPr>
        <w:t>ližší, které by naopak pro dítě měly představovat jistotu a bezpečí.</w:t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</w:rPr>
        <w:t>Je třeba mít na paměti, že dítě je mnohem zranitelnější a bezmocnější než dospělý jedinec. To obvykle bývá odkázáno na pomoc druhých osob – samo pomoc ve většině případů nevyhledá (třebaž</w:t>
      </w:r>
      <w:r>
        <w:rPr>
          <w:rFonts w:ascii="Arial" w:hAnsi="Arial"/>
        </w:rPr>
        <w:t>e touží po změně, ale neví, jak jí dosáhnout). Bývají to zpravidla osoby z jeho blízkého okolí (rodinní příslušníci nebo učitelé), kteří si všimnou, že něco není v pořádku.</w:t>
      </w:r>
      <w:r>
        <w:rPr>
          <w:rStyle w:val="Znakapoznpodarou"/>
          <w:rFonts w:ascii="Arial" w:hAnsi="Arial"/>
        </w:rPr>
        <w:footnoteReference w:id="7"/>
      </w:r>
    </w:p>
    <w:p w:rsidR="004505BF" w:rsidRDefault="004505BF">
      <w:pPr>
        <w:pStyle w:val="Standard"/>
        <w:spacing w:line="360" w:lineRule="auto"/>
        <w:ind w:firstLine="709"/>
        <w:jc w:val="both"/>
        <w:rPr>
          <w:rFonts w:ascii="Arial" w:hAnsi="Arial"/>
        </w:rPr>
      </w:pP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bCs/>
        </w:rPr>
        <w:t>Matoušek</w:t>
      </w:r>
      <w:r>
        <w:rPr>
          <w:rStyle w:val="Znakapoznpodarou"/>
          <w:rFonts w:ascii="Arial" w:hAnsi="Arial"/>
          <w:bCs/>
        </w:rPr>
        <w:footnoteReference w:id="8"/>
      </w:r>
      <w:r>
        <w:rPr>
          <w:rFonts w:ascii="Arial" w:hAnsi="Arial"/>
          <w:bCs/>
        </w:rPr>
        <w:t xml:space="preserve"> uvádí čtyři typy úmyslného/neúmyslného zraňování dítěte, které s</w:t>
      </w:r>
      <w:r>
        <w:rPr>
          <w:rFonts w:ascii="Arial" w:hAnsi="Arial"/>
          <w:bCs/>
        </w:rPr>
        <w:t>vou závažností negativně ovlivňuje zdraví nebo zdravý vývoj dítěte:</w:t>
      </w:r>
    </w:p>
    <w:p w:rsidR="004505BF" w:rsidRDefault="002D4F7B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tělesné týrání;</w:t>
      </w:r>
    </w:p>
    <w:p w:rsidR="004505BF" w:rsidRDefault="002D4F7B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sexuální zneužívání;</w:t>
      </w:r>
    </w:p>
    <w:p w:rsidR="004505BF" w:rsidRDefault="002D4F7B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zanedbávání;</w:t>
      </w:r>
    </w:p>
    <w:p w:rsidR="004505BF" w:rsidRDefault="002D4F7B">
      <w:pPr>
        <w:pStyle w:val="Standard"/>
        <w:numPr>
          <w:ilvl w:val="0"/>
          <w:numId w:val="2"/>
        </w:numPr>
        <w:spacing w:line="360" w:lineRule="auto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emoční týrání.</w:t>
      </w:r>
    </w:p>
    <w:p w:rsidR="004505BF" w:rsidRDefault="004505BF">
      <w:pPr>
        <w:pStyle w:val="Standard"/>
        <w:spacing w:line="360" w:lineRule="auto"/>
        <w:jc w:val="both"/>
        <w:rPr>
          <w:rFonts w:ascii="Arial" w:hAnsi="Arial"/>
          <w:b/>
          <w:bCs/>
        </w:rPr>
      </w:pP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b/>
          <w:bCs/>
        </w:rPr>
        <w:t>2.1 Tělesné týrání</w:t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bCs/>
          <w:i/>
        </w:rPr>
        <w:t xml:space="preserve">„Nejzávažnějším způsobem týrání jsou vraždy novorozených dětí a utýrání dítěte k smrti krutými </w:t>
      </w:r>
      <w:r>
        <w:rPr>
          <w:rFonts w:ascii="Arial" w:hAnsi="Arial"/>
          <w:bCs/>
          <w:i/>
        </w:rPr>
        <w:t>tělesnými zásahy často kombinovanými s hrubým zanedbáním výživy a péče.“</w:t>
      </w:r>
      <w:r>
        <w:rPr>
          <w:rStyle w:val="Znakapoznpodarou"/>
          <w:rFonts w:ascii="Arial" w:hAnsi="Arial"/>
          <w:bCs/>
          <w:i/>
        </w:rPr>
        <w:footnoteReference w:id="9"/>
      </w:r>
    </w:p>
    <w:p w:rsidR="004505BF" w:rsidRDefault="002D4F7B">
      <w:pPr>
        <w:pStyle w:val="Standard"/>
        <w:spacing w:line="360" w:lineRule="auto"/>
        <w:ind w:firstLine="709"/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Tělesné týrání je takové týrání, kdy je dítě vystaveno nepřiměřenému fyzickému násilí (trestům) a surovému zacházení. Jako přík</w:t>
      </w:r>
      <w:r>
        <w:rPr>
          <w:rFonts w:ascii="Arial" w:hAnsi="Arial"/>
          <w:bCs/>
        </w:rPr>
        <w:t>lad uveďme bití (dlaní, pěstí, předměty), kopání, škrcení, dušení, topení, tahání za vlasy/trhání vlasů, znehybňování, odepírání stravy, tepla, hygieny.</w:t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bCs/>
        </w:rPr>
        <w:t>V nejtěžších případech je možné se setkat se systematickým mučením, které hraničí s brutalitou (jako př</w:t>
      </w:r>
      <w:r>
        <w:rPr>
          <w:rFonts w:ascii="Arial" w:hAnsi="Arial"/>
          <w:bCs/>
        </w:rPr>
        <w:t>íklad uveďme úmyslné bití do ran z předchozího útoku).  Toto jednání se zpravidla soustavně opakuje.</w:t>
      </w:r>
      <w:r>
        <w:rPr>
          <w:rStyle w:val="Znakapoznpodarou"/>
          <w:rFonts w:ascii="Arial" w:hAnsi="Arial"/>
          <w:bCs/>
        </w:rPr>
        <w:t xml:space="preserve"> </w:t>
      </w:r>
      <w:r>
        <w:rPr>
          <w:rStyle w:val="Znakapoznpodarou"/>
          <w:rFonts w:ascii="Arial" w:hAnsi="Arial"/>
          <w:bCs/>
        </w:rPr>
        <w:footnoteReference w:id="10"/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bCs/>
          <w:i/>
        </w:rPr>
        <w:lastRenderedPageBreak/>
        <w:t>„Je typické, že čím je dítě mladší, tím bývá krutost tělesného násilí větší. Lze to vysvětlit bezmocí dítěte se bránit a jeho plné závislosti a odkázanosti na rodičích, čímž, je vyloučena možnost se někomu svěřit a požádat o pomoc.“</w:t>
      </w:r>
      <w:r>
        <w:rPr>
          <w:rStyle w:val="Znakapoznpodarou"/>
          <w:rFonts w:ascii="Arial" w:hAnsi="Arial"/>
          <w:bCs/>
        </w:rPr>
        <w:footnoteReference w:id="11"/>
      </w:r>
      <w:r>
        <w:rPr>
          <w:rFonts w:ascii="Arial" w:hAnsi="Arial"/>
          <w:bCs/>
        </w:rPr>
        <w:t xml:space="preserve"> Ve vysokém počtu případů si dítě z tělesného týrání odnáší trvalé tělesné následky (pokud nakonec neskončí týrání přímo smrtelným poraněním).</w:t>
      </w:r>
      <w:r>
        <w:rPr>
          <w:rFonts w:ascii="Arial" w:hAnsi="Arial"/>
          <w:bCs/>
          <w:i/>
        </w:rPr>
        <w:t xml:space="preserve">  </w:t>
      </w:r>
    </w:p>
    <w:p w:rsidR="004505BF" w:rsidRDefault="004505BF">
      <w:pPr>
        <w:pStyle w:val="Standard"/>
        <w:spacing w:line="360" w:lineRule="auto"/>
        <w:ind w:firstLine="360"/>
        <w:jc w:val="both"/>
        <w:rPr>
          <w:rFonts w:ascii="Arial" w:hAnsi="Arial"/>
          <w:bCs/>
        </w:rPr>
      </w:pPr>
    </w:p>
    <w:p w:rsidR="004505BF" w:rsidRDefault="002D4F7B">
      <w:pPr>
        <w:pStyle w:val="Standard"/>
        <w:spacing w:line="360" w:lineRule="auto"/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2.2 Sexuální zneužívání</w:t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bCs/>
          <w:i/>
        </w:rPr>
        <w:t>„Sexuální zneužívání je zapojení závislého vývoj</w:t>
      </w:r>
      <w:r>
        <w:rPr>
          <w:rFonts w:ascii="Arial" w:hAnsi="Arial"/>
          <w:bCs/>
          <w:i/>
        </w:rPr>
        <w:t>ově nezralého dítěte nebo adolescenta do sexuálních aktivit, které jím nejsou pochopeny a přijímány a narušují jeho sociální tabu v rodinných rolích.“</w:t>
      </w:r>
      <w:r>
        <w:rPr>
          <w:rStyle w:val="Znakapoznpodarou"/>
          <w:rFonts w:ascii="Arial" w:hAnsi="Arial"/>
          <w:bCs/>
          <w:i/>
        </w:rPr>
        <w:footnoteReference w:id="12"/>
      </w:r>
      <w:r>
        <w:rPr>
          <w:rFonts w:ascii="Arial" w:hAnsi="Arial"/>
          <w:bCs/>
          <w:i/>
        </w:rPr>
        <w:t xml:space="preserve"> </w:t>
      </w:r>
      <w:r>
        <w:rPr>
          <w:rFonts w:ascii="Arial" w:hAnsi="Arial"/>
          <w:bCs/>
        </w:rPr>
        <w:t>Oběťmi nejsou pouze dívky, ale i chlapci, nicméně dívky jsou sexuálně zneužívány mnohem častěji (přibližně v poměru 10:1), přičemž průměrná doba zneužívání uvnitř rodiny trvá zhruba 3-7 let.</w:t>
      </w:r>
      <w:r>
        <w:rPr>
          <w:rStyle w:val="Znakapoznpodarou"/>
          <w:rFonts w:ascii="Arial" w:hAnsi="Arial"/>
          <w:bCs/>
        </w:rPr>
        <w:footnoteReference w:id="13"/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bCs/>
        </w:rPr>
        <w:t>Sexuální zneužívání dělíme na nekontaktní a kontaktní. Kontaktní můžeme rozdělit na aktivity nepenetrativní (osahávání, mazlení, dráždění genitálně-anální oblasti) a penetrativní (přímé vnikání do genitálu). Ce</w:t>
      </w:r>
      <w:r>
        <w:rPr>
          <w:rFonts w:ascii="Arial" w:hAnsi="Arial"/>
          <w:bCs/>
        </w:rPr>
        <w:t xml:space="preserve">lá oblast sexuálního zneužívání zahrnuje také návrhy se sexuálním podtextem, obscénnost v přítomnosti dítěte, pornografii (její výrobu a sledování) i nevhodné činnosti spojené s močením a defekací. </w:t>
      </w:r>
      <w:r>
        <w:rPr>
          <w:rStyle w:val="Znakapoznpodarou"/>
          <w:rFonts w:ascii="Arial" w:hAnsi="Arial"/>
          <w:bCs/>
        </w:rPr>
        <w:footnoteReference w:id="14"/>
      </w:r>
    </w:p>
    <w:p w:rsidR="004505BF" w:rsidRDefault="004505BF">
      <w:pPr>
        <w:pStyle w:val="Standard"/>
        <w:spacing w:line="360" w:lineRule="auto"/>
        <w:jc w:val="both"/>
        <w:rPr>
          <w:rFonts w:ascii="Arial" w:hAnsi="Arial"/>
          <w:bCs/>
        </w:rPr>
      </w:pPr>
    </w:p>
    <w:p w:rsidR="004505BF" w:rsidRDefault="002D4F7B">
      <w:pPr>
        <w:pStyle w:val="Standard"/>
        <w:spacing w:line="360" w:lineRule="auto"/>
        <w:ind w:firstLine="709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2.3 Zanedbávání</w:t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i/>
        </w:rPr>
        <w:t>„Zanedbávání je pojímáno jako jakýkoli nedostatek péče, který způsobuje vážnou újmu vývoji dítěte a nebo ohrožuje dítě.“</w:t>
      </w:r>
      <w:r>
        <w:rPr>
          <w:rStyle w:val="Znakapoznpodarou"/>
          <w:rFonts w:ascii="Arial" w:hAnsi="Arial"/>
          <w:i/>
        </w:rPr>
        <w:footnoteReference w:id="15"/>
      </w:r>
      <w:r>
        <w:rPr>
          <w:rFonts w:ascii="Arial" w:hAnsi="Arial"/>
          <w:i/>
        </w:rPr>
        <w:t xml:space="preserve"> </w:t>
      </w:r>
      <w:r>
        <w:rPr>
          <w:rFonts w:ascii="Arial" w:hAnsi="Arial"/>
        </w:rPr>
        <w:t>Je tedy chápáno v rovině materiální, sociální, citové či přímo opuštění dítěte. Dítě tak nemá dostatek podnětů pro vlastní rozvoj osobnosti, a to ani v základních oblastech. Neorientuje se v sociálních normách a rolích dané kultury, nezvládá běžné hygieni</w:t>
      </w:r>
      <w:r>
        <w:rPr>
          <w:rFonts w:ascii="Arial" w:hAnsi="Arial"/>
        </w:rPr>
        <w:t>cké návyky, citově strádá a nerozvíjí se v emočních ani kognitivních funkcích. Pro tyto děti je charakteristické, že se u nich ve valné většině dříve či později projeví rizikové chování.</w:t>
      </w:r>
      <w:r>
        <w:rPr>
          <w:rStyle w:val="Znakapoznpodarou"/>
          <w:rFonts w:ascii="Arial" w:hAnsi="Arial"/>
        </w:rPr>
        <w:footnoteReference w:id="16"/>
      </w:r>
    </w:p>
    <w:p w:rsidR="004505BF" w:rsidRDefault="004505BF">
      <w:pPr>
        <w:pStyle w:val="Standard"/>
        <w:spacing w:line="360" w:lineRule="auto"/>
        <w:ind w:firstLine="360"/>
        <w:jc w:val="both"/>
        <w:rPr>
          <w:rFonts w:ascii="Arial" w:hAnsi="Arial"/>
          <w:b/>
        </w:rPr>
      </w:pP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b/>
        </w:rPr>
        <w:t>2.4 Emoční (citové) týrání</w:t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bCs/>
        </w:rPr>
        <w:t>Toto týrání zahrnuje jednání, k</w:t>
      </w:r>
      <w:r>
        <w:rPr>
          <w:rFonts w:ascii="Arial" w:hAnsi="Arial"/>
          <w:bCs/>
        </w:rPr>
        <w:t xml:space="preserve">teré dítě silně ponižuje nebo stresuje. </w:t>
      </w:r>
      <w:r>
        <w:rPr>
          <w:rFonts w:ascii="Arial" w:hAnsi="Arial"/>
          <w:bCs/>
          <w:i/>
        </w:rPr>
        <w:lastRenderedPageBreak/>
        <w:t>„Pachatel zaviněně působí na psychiku týrané osoby např. různými formami ponižování lidské důstojnosti, vyvoláváním strachu, přetěžováním, šikanováním, užíváním hrubých urážek apod., které osoba pro jejich bezohledno</w:t>
      </w:r>
      <w:r>
        <w:rPr>
          <w:rFonts w:ascii="Arial" w:hAnsi="Arial"/>
          <w:bCs/>
          <w:i/>
        </w:rPr>
        <w:t xml:space="preserve">st pociťuje jako těžké příkoří nebo citové strádání.“ </w:t>
      </w:r>
      <w:r>
        <w:rPr>
          <w:rStyle w:val="Znakapoznpodarou"/>
          <w:rFonts w:ascii="Arial" w:hAnsi="Arial"/>
          <w:bCs/>
          <w:i/>
        </w:rPr>
        <w:footnoteReference w:id="17"/>
      </w:r>
      <w:r>
        <w:rPr>
          <w:rFonts w:ascii="Arial" w:hAnsi="Arial"/>
          <w:bCs/>
          <w:i/>
        </w:rPr>
        <w:t xml:space="preserve"> </w:t>
      </w:r>
      <w:r>
        <w:rPr>
          <w:rFonts w:ascii="Arial" w:hAnsi="Arial"/>
          <w:bCs/>
        </w:rPr>
        <w:t xml:space="preserve">Nemusí se vždy jednat o přímé verbální útoky na dítě, už samotná dlouhodobě stresující atmosféra doma spojená s konflikty mezi členy rodiny, atmosféra přísných příkazů a zákazů </w:t>
      </w:r>
      <w:r>
        <w:rPr>
          <w:rFonts w:ascii="Arial" w:hAnsi="Arial"/>
          <w:bCs/>
        </w:rPr>
        <w:t>nebo vynucené separování dítěte od společnosti narušuje emoční pohodu dítěte.</w:t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bCs/>
        </w:rPr>
        <w:t>Velmi často doprovází emoční týrání fyzické násilí nebo sexuální zneužívání. Dítě, kterému je jakkoli ubližováno, pociťuje nejistotu a strach, pochybuje o sobě a postrádá pocit,</w:t>
      </w:r>
      <w:r>
        <w:rPr>
          <w:rFonts w:ascii="Arial" w:hAnsi="Arial"/>
          <w:bCs/>
        </w:rPr>
        <w:t xml:space="preserve"> že je přijímáno a milováno. Dochází k citové deprivaci, s jejímiž následky se osoby emočně týrané potýkají (v různé míře) po celý zbytek svého života.</w:t>
      </w:r>
      <w:r>
        <w:rPr>
          <w:rStyle w:val="Znakapoznpodarou"/>
          <w:rFonts w:ascii="Arial" w:hAnsi="Arial"/>
          <w:bCs/>
        </w:rPr>
        <w:footnoteReference w:id="18"/>
      </w:r>
    </w:p>
    <w:p w:rsidR="004505BF" w:rsidRDefault="004505BF">
      <w:pPr>
        <w:pStyle w:val="Standard"/>
        <w:spacing w:line="360" w:lineRule="auto"/>
        <w:jc w:val="both"/>
        <w:rPr>
          <w:rFonts w:ascii="Arial" w:hAnsi="Arial"/>
          <w:bCs/>
        </w:rPr>
      </w:pP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/>
          <w:b/>
          <w:bCs/>
          <w:sz w:val="28"/>
        </w:rPr>
        <w:t>3. Projevy a příz</w:t>
      </w:r>
      <w:r>
        <w:rPr>
          <w:rFonts w:ascii="Arial" w:hAnsi="Arial"/>
          <w:b/>
          <w:bCs/>
          <w:sz w:val="28"/>
        </w:rPr>
        <w:t>naky syndromu CAN</w:t>
      </w:r>
    </w:p>
    <w:p w:rsidR="004505BF" w:rsidRDefault="002D4F7B">
      <w:pPr>
        <w:pStyle w:val="Standard"/>
        <w:spacing w:line="360" w:lineRule="auto"/>
        <w:ind w:left="360" w:firstLine="349"/>
        <w:jc w:val="both"/>
      </w:pPr>
      <w:r>
        <w:rPr>
          <w:rFonts w:ascii="Arial" w:hAnsi="Arial"/>
          <w:bCs/>
        </w:rPr>
        <w:t>Při hodnocení nevhodného zacházení se posuzuje:</w:t>
      </w:r>
    </w:p>
    <w:p w:rsidR="004505BF" w:rsidRDefault="002D4F7B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„Závažnost zneužívání a týrání;</w:t>
      </w:r>
    </w:p>
    <w:p w:rsidR="004505BF" w:rsidRDefault="002D4F7B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častost těchto projevů pečujících dospělých;</w:t>
      </w:r>
    </w:p>
    <w:p w:rsidR="004505BF" w:rsidRDefault="002D4F7B">
      <w:pPr>
        <w:pStyle w:val="Standard"/>
        <w:numPr>
          <w:ilvl w:val="0"/>
          <w:numId w:val="3"/>
        </w:numPr>
        <w:spacing w:line="360" w:lineRule="auto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věk dítěte;</w:t>
      </w:r>
    </w:p>
    <w:p w:rsidR="004505BF" w:rsidRDefault="002D4F7B">
      <w:pPr>
        <w:pStyle w:val="Standard"/>
        <w:numPr>
          <w:ilvl w:val="0"/>
          <w:numId w:val="3"/>
        </w:numPr>
        <w:spacing w:line="360" w:lineRule="auto"/>
        <w:jc w:val="both"/>
      </w:pPr>
      <w:r>
        <w:rPr>
          <w:rFonts w:ascii="Arial" w:hAnsi="Arial"/>
          <w:i/>
        </w:rPr>
        <w:t>vyspělost dítěte.“</w:t>
      </w:r>
      <w:r>
        <w:rPr>
          <w:rStyle w:val="Znakapoznpodarou"/>
          <w:rFonts w:ascii="Arial" w:hAnsi="Arial"/>
          <w:i/>
        </w:rPr>
        <w:footnoteReference w:id="19"/>
      </w:r>
    </w:p>
    <w:p w:rsidR="004505BF" w:rsidRDefault="004505BF">
      <w:pPr>
        <w:pStyle w:val="Standard"/>
        <w:spacing w:line="360" w:lineRule="auto"/>
        <w:ind w:left="720"/>
        <w:jc w:val="both"/>
        <w:rPr>
          <w:rFonts w:ascii="Arial" w:hAnsi="Arial"/>
          <w:i/>
        </w:rPr>
      </w:pP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</w:rPr>
        <w:t xml:space="preserve">Jak již bylo řečeno, u znaků poukazujících na možné </w:t>
      </w:r>
      <w:r>
        <w:rPr>
          <w:rFonts w:ascii="Arial" w:hAnsi="Arial"/>
        </w:rPr>
        <w:t>týrání (zneužívání, příp. zanedbávání) záleží na stupni a druhu týrání a také na věku dítěte. U fyzických projevů týrání se setkáváme nejčastěji s podlitinami, oděrkami, škrábanci, krvácením (v případě sexuálního zneužívání se nejčastěji jedná o krvácení g</w:t>
      </w:r>
      <w:r>
        <w:rPr>
          <w:rFonts w:ascii="Arial" w:hAnsi="Arial"/>
        </w:rPr>
        <w:t>enitálně-análních partií, popř. v krku), pohmožděninami, zlomeninami, popáleninami atd.</w:t>
      </w:r>
      <w:r>
        <w:rPr>
          <w:rStyle w:val="Znakapoznpodarou"/>
          <w:rFonts w:ascii="Arial" w:hAnsi="Arial"/>
        </w:rPr>
        <w:footnoteReference w:id="20"/>
      </w:r>
      <w:r>
        <w:rPr>
          <w:rFonts w:ascii="Arial" w:hAnsi="Arial"/>
        </w:rPr>
        <w:t xml:space="preserve"> Mnoha těchto příznaků by si mohl povšimnout např. lékař nebo učitel ve škole.</w:t>
      </w: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/>
        </w:rPr>
        <w:tab/>
        <w:t xml:space="preserve">Je také třeba nezanedbat příznaky psychické a sociální – </w:t>
      </w:r>
      <w:r>
        <w:rPr>
          <w:rFonts w:ascii="Arial" w:hAnsi="Arial"/>
        </w:rPr>
        <w:t>emoční labilita, úzkost a strach (obzvlášť před návratem domů), útěky z domova, zhoršený školní prospěch, záškoláctví, zvýšená agrese, pláč, hněvivost, apatie, noční děsy, smutek, deprese, nerozhodnost, nesoustředěnost, snížené sebevědomí, rizikové chování</w:t>
      </w:r>
      <w:r>
        <w:rPr>
          <w:rFonts w:ascii="Arial" w:hAnsi="Arial"/>
        </w:rPr>
        <w:t xml:space="preserve">, psychosomatické obtíže, nechutenství nebo naopak přehnané jedení, stranění se, problémy v komunikaci, regrese na nižší vývojový stupeň, nevhodné (i vyzývavé) </w:t>
      </w:r>
      <w:r>
        <w:rPr>
          <w:rFonts w:ascii="Arial" w:hAnsi="Arial"/>
        </w:rPr>
        <w:lastRenderedPageBreak/>
        <w:t xml:space="preserve">sexualizované chování a hry (u mladších dětí neodpovídající věku), u starších dětí se setkáváme </w:t>
      </w:r>
      <w:r>
        <w:rPr>
          <w:rFonts w:ascii="Arial" w:hAnsi="Arial"/>
        </w:rPr>
        <w:t>i se sebepoškozováním a pokusy o sebevraždu. Mnohé děti trpí posttraumatickým syndromem.</w:t>
      </w:r>
      <w:r>
        <w:rPr>
          <w:rStyle w:val="Znakapoznpodarou"/>
          <w:rFonts w:ascii="Arial" w:hAnsi="Arial"/>
        </w:rPr>
        <w:footnoteReference w:id="21"/>
      </w: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  <w:i/>
        </w:rPr>
        <w:t xml:space="preserve">„Trvalým typem reagování se pak často stává u některých jedinců naučená útočnost, u jiných naučená bezmoc.“ </w:t>
      </w:r>
      <w:r>
        <w:rPr>
          <w:rStyle w:val="Znakapoznpodarou"/>
          <w:rFonts w:ascii="Arial" w:hAnsi="Arial" w:cs="Arial"/>
          <w:i/>
        </w:rPr>
        <w:footnoteReference w:id="22"/>
      </w:r>
    </w:p>
    <w:p w:rsidR="004505BF" w:rsidRDefault="004505BF">
      <w:pPr>
        <w:pStyle w:val="Standard"/>
        <w:spacing w:line="360" w:lineRule="auto"/>
        <w:jc w:val="both"/>
        <w:rPr>
          <w:rFonts w:ascii="Arial" w:hAnsi="Arial"/>
        </w:rPr>
      </w:pPr>
    </w:p>
    <w:p w:rsidR="004505BF" w:rsidRDefault="002D4F7B">
      <w:pPr>
        <w:pStyle w:val="Standard"/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4. Krizová intervence a péče o oběti</w:t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/>
          <w:i/>
        </w:rPr>
        <w:t>„Z dlouhodobého hlediska je důležité, že u dětí, které vyrůstaly v do</w:t>
      </w:r>
      <w:r>
        <w:rPr>
          <w:rFonts w:ascii="Arial" w:hAnsi="Arial"/>
          <w:i/>
        </w:rPr>
        <w:t xml:space="preserve">mácnostech s násilím či byly v dětství zneužívány, se může vyvinout deprese </w:t>
      </w:r>
      <w:r>
        <w:rPr>
          <w:rFonts w:ascii="Arial" w:hAnsi="Arial" w:cs="Arial"/>
          <w:i/>
        </w:rPr>
        <w:t>[…], častěji však dochází k delikventnímu chování […] a ke sklonům k násilí v jejich vlastních vztazích.“</w:t>
      </w:r>
      <w:r>
        <w:rPr>
          <w:rFonts w:ascii="Arial" w:hAnsi="Arial" w:cs="Arial"/>
        </w:rPr>
        <w:t xml:space="preserve"> </w:t>
      </w:r>
      <w:r>
        <w:rPr>
          <w:rStyle w:val="Znakapoznpodarou"/>
          <w:rFonts w:ascii="Arial" w:hAnsi="Arial" w:cs="Arial"/>
        </w:rPr>
        <w:footnoteReference w:id="23"/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Rány na duši se hojí velice dlouho a je n</w:t>
      </w:r>
      <w:r>
        <w:rPr>
          <w:rFonts w:ascii="Arial" w:hAnsi="Arial" w:cs="Arial"/>
        </w:rPr>
        <w:t xml:space="preserve">a místě dlouhodobá práce s dítětem i (je-li to možné) s rodinou. S dítětem se musí pracovat citlivě, doporučuje se i skupinová terapie, kde má dítě možnost se setkat s podobnými životními příběhy.   </w:t>
      </w:r>
      <w:r>
        <w:rPr>
          <w:rFonts w:ascii="Arial" w:hAnsi="Arial" w:cs="Arial"/>
        </w:rPr>
        <w:tab/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 w:cs="Arial"/>
        </w:rPr>
        <w:t>Krizová intervence a služby pomoci by měly pamatovat na</w:t>
      </w:r>
      <w:r>
        <w:rPr>
          <w:rFonts w:ascii="Arial" w:hAnsi="Arial" w:cs="Arial"/>
        </w:rPr>
        <w:t xml:space="preserve"> práci s obětí, agresorem, příp. celou rodinou. V první řadě je důležité ochránit zdraví a život dítěte. Způsob komunikace s dítětem (včetně např. výslechu Policií ČR) musí být přizpůsoben věku dítěte i jeho psychickému stavu. Často se tak děje za přítomno</w:t>
      </w:r>
      <w:r>
        <w:rPr>
          <w:rFonts w:ascii="Arial" w:hAnsi="Arial" w:cs="Arial"/>
        </w:rPr>
        <w:t>sti psychologů.</w:t>
      </w:r>
      <w:r>
        <w:rPr>
          <w:rStyle w:val="Znakapoznpodarou"/>
          <w:rFonts w:ascii="Arial" w:hAnsi="Arial" w:cs="Arial"/>
        </w:rPr>
        <w:footnoteReference w:id="24"/>
      </w:r>
    </w:p>
    <w:p w:rsidR="004505BF" w:rsidRDefault="002D4F7B">
      <w:pPr>
        <w:pStyle w:val="Standard"/>
        <w:spacing w:line="360" w:lineRule="auto"/>
        <w:ind w:firstLine="709"/>
        <w:jc w:val="both"/>
      </w:pPr>
      <w:r>
        <w:rPr>
          <w:rFonts w:ascii="Arial" w:hAnsi="Arial" w:cs="Arial"/>
        </w:rPr>
        <w:t xml:space="preserve">Kroky po zjištění nevhodného zacházení s dítětem vycházejí ze zákona o rodině, zákona o sociálně-právní ochraně dětí a zákonem o výkonu ústavní nebo ochranné výchovy ve školských zařízeních a preventivně výchovné péči ve </w:t>
      </w:r>
      <w:r>
        <w:rPr>
          <w:rFonts w:ascii="Arial" w:hAnsi="Arial" w:cs="Arial"/>
        </w:rPr>
        <w:t xml:space="preserve">školských zařízeních. Základní otázka zní, zda bude dítě rodičům odejmuto, anebo v rodině zůstane. </w:t>
      </w:r>
      <w:r>
        <w:rPr>
          <w:rStyle w:val="Znakapoznpodarou"/>
          <w:rFonts w:ascii="Arial" w:hAnsi="Arial" w:cs="Arial"/>
        </w:rPr>
        <w:footnoteReference w:id="25"/>
      </w:r>
      <w:r>
        <w:rPr>
          <w:rFonts w:ascii="Arial" w:hAnsi="Arial" w:cs="Arial"/>
        </w:rPr>
        <w:t xml:space="preserve">    </w:t>
      </w:r>
    </w:p>
    <w:p w:rsidR="004505BF" w:rsidRDefault="004505BF">
      <w:pPr>
        <w:pStyle w:val="Standard"/>
        <w:spacing w:line="360" w:lineRule="auto"/>
        <w:jc w:val="both"/>
        <w:rPr>
          <w:rFonts w:ascii="Arial" w:hAnsi="Arial"/>
          <w:b/>
          <w:sz w:val="28"/>
        </w:rPr>
      </w:pPr>
    </w:p>
    <w:p w:rsidR="004505BF" w:rsidRDefault="002D4F7B">
      <w:pPr>
        <w:pStyle w:val="Standard"/>
        <w:spacing w:line="360" w:lineRule="auto"/>
        <w:jc w:val="both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5. Primární, sekundární a terciární prevence syndromu CAN, služby ve vybrané lokalitě</w:t>
      </w:r>
    </w:p>
    <w:p w:rsidR="004505BF" w:rsidRDefault="002D4F7B">
      <w:pPr>
        <w:pStyle w:val="Standard"/>
        <w:spacing w:line="360" w:lineRule="auto"/>
        <w:jc w:val="both"/>
        <w:rPr>
          <w:rFonts w:ascii="Arial" w:hAnsi="Arial"/>
          <w:sz w:val="28"/>
        </w:rPr>
      </w:pPr>
      <w:r>
        <w:rPr>
          <w:rFonts w:cs="Arial"/>
        </w:rPr>
        <w:tab/>
        <w:t>Prevence syndromu CAN v současné době v České republice probíhá na několika úrovních. Primární prevence je zaměřená zejména na oblasti systému rodiny, kde cílí na nácvik rodičovských dovedností, podporuje také mladé, nezralé, nebo nedostatečně kompetentní</w:t>
      </w:r>
      <w:r>
        <w:rPr>
          <w:rFonts w:cs="Arial"/>
        </w:rPr>
        <w:t xml:space="preserve"> rodiče. Další oblastí je pak zajištění dostatečné informovanosti o dospívajících o sexuálních tématech, možnostech antikoncepce aj. (prevence narození nechtěného dítěte). </w:t>
      </w:r>
      <w:r>
        <w:rPr>
          <w:rFonts w:cs="Arial"/>
        </w:rPr>
        <w:lastRenderedPageBreak/>
        <w:t>Osvětová činnost se zaměřuje také na šíření informací o tématu a příznacích, školení</w:t>
      </w:r>
      <w:r>
        <w:rPr>
          <w:rFonts w:cs="Arial"/>
        </w:rPr>
        <w:t xml:space="preserve"> pedagogů (varovné signály, intervence, pomoc, kontakty). Mezi další, neméně zásadní cíle primární prevence patří podpora důvěry dětí v instituce a organizace, posilování jejich znalostí a schopností chránit sebe sama.</w:t>
      </w:r>
    </w:p>
    <w:p w:rsidR="004505BF" w:rsidRDefault="002D4F7B">
      <w:pPr>
        <w:pStyle w:val="Standard"/>
        <w:spacing w:line="360" w:lineRule="auto"/>
        <w:jc w:val="both"/>
        <w:rPr>
          <w:rFonts w:ascii="Arial" w:hAnsi="Arial"/>
          <w:sz w:val="28"/>
        </w:rPr>
      </w:pPr>
      <w:r>
        <w:rPr>
          <w:rFonts w:cs="Arial"/>
        </w:rPr>
        <w:tab/>
        <w:t>U sekundární prevence syndromu CAN j</w:t>
      </w:r>
      <w:r>
        <w:rPr>
          <w:rFonts w:cs="Arial"/>
        </w:rPr>
        <w:t>e platné obecné pravidlo o závislosti na včasné diagnostice syndromu, či jeho pravděpodobnosti. V praktické rovině se jedná o školení odborníků pracujících s dětmi, nejčastěji učitelů, lékařů, sociálních pracovníků. Mezi další preventivní opatření patří ak</w:t>
      </w:r>
      <w:r>
        <w:rPr>
          <w:rFonts w:cs="Arial"/>
        </w:rPr>
        <w:t>tivní činnost přímo v ohrožených rodinách, regionech. V pravém smyslu slova aktivní se také jedná o přímé vyhledávání rizikových dětí, dospělých, rodin, situací a o následné intervence.</w:t>
      </w:r>
    </w:p>
    <w:p w:rsidR="004505BF" w:rsidRDefault="002D4F7B">
      <w:pPr>
        <w:pStyle w:val="Standard"/>
        <w:spacing w:line="360" w:lineRule="auto"/>
        <w:jc w:val="both"/>
        <w:rPr>
          <w:rFonts w:ascii="Arial" w:hAnsi="Arial"/>
          <w:sz w:val="28"/>
        </w:rPr>
      </w:pPr>
      <w:r>
        <w:rPr>
          <w:rFonts w:cs="Arial"/>
        </w:rPr>
        <w:tab/>
        <w:t xml:space="preserve">Terciární prevence, která je vymezená zákony uvedenými v kapitole 5, </w:t>
      </w:r>
      <w:r>
        <w:rPr>
          <w:rFonts w:cs="Arial"/>
        </w:rPr>
        <w:t xml:space="preserve">které znamenají zastavení týrání – vědomí o povinnosti překazit, nebo oznámit čin příslušným institucím, v sobě dále zahrnuje práci s obětí (odborníci, rodina, škola), práci s agresorem a zabránění sekundární viktimizaci. Terciární prevence dále pracuje s </w:t>
      </w:r>
      <w:r>
        <w:rPr>
          <w:rFonts w:cs="Arial"/>
        </w:rPr>
        <w:t>účinnými nástroji resocializace zraněného dítěte a jeho rodiny, optimálně  pomocí multidisciplinárního týmu. Prevence obecně tedy zahrnuje spolupráci následujících odborníků: pediatra, psychiatra, dětského gynekologa, dětského psychologa, sociálního pracov</w:t>
      </w:r>
      <w:r>
        <w:rPr>
          <w:rFonts w:cs="Arial"/>
        </w:rPr>
        <w:t>níka, pedagogického pracovníka, pracovníka v justici a v neposlední řadě také pracovníky policie.</w:t>
      </w:r>
    </w:p>
    <w:p w:rsidR="004505BF" w:rsidRDefault="002D4F7B">
      <w:pPr>
        <w:pStyle w:val="Standard"/>
        <w:spacing w:line="360" w:lineRule="auto"/>
        <w:jc w:val="both"/>
        <w:rPr>
          <w:rFonts w:ascii="Arial" w:hAnsi="Arial"/>
          <w:sz w:val="28"/>
        </w:rPr>
      </w:pPr>
      <w:r>
        <w:rPr>
          <w:rFonts w:cs="Arial"/>
        </w:rPr>
        <w:tab/>
        <w:t>Vzhledem k celkové koncepci práce a jejím cílům v závěru nutno, pro možné praktické využití, představit nejvýznamnější organizace věnující se v České republi</w:t>
      </w:r>
      <w:r>
        <w:rPr>
          <w:rFonts w:cs="Arial"/>
        </w:rPr>
        <w:t>ce problematice syndromu CAN. První zařízení specializované na problematiku týraných, zneužívaných a zanedbávaných dětí v České republice vzniklo v roce 1992, Dětské krizové centrum funguje v principu multidisciplinární spolupráce odborného týmu s klientem</w:t>
      </w:r>
      <w:r>
        <w:rPr>
          <w:rFonts w:cs="Arial"/>
        </w:rPr>
        <w:t xml:space="preserve"> dodnes. Mezi jeho základní služby patří linka důvěry v nepřetržitém provozu, právní poradna a preventivní činnost.</w:t>
      </w:r>
    </w:p>
    <w:p w:rsidR="004505BF" w:rsidRDefault="002D4F7B">
      <w:pPr>
        <w:pStyle w:val="Standard"/>
        <w:spacing w:line="360" w:lineRule="auto"/>
        <w:jc w:val="both"/>
        <w:rPr>
          <w:rFonts w:ascii="Arial" w:hAnsi="Arial"/>
          <w:sz w:val="28"/>
        </w:rPr>
      </w:pPr>
      <w:r>
        <w:rPr>
          <w:rFonts w:cs="Arial"/>
        </w:rPr>
        <w:t xml:space="preserve">Další krizové a intervenční centrum, Spondea, má oblast působnosti v Brně a okolí. Významnou neziskovou organizací, jejíž oblast působnosti </w:t>
      </w:r>
      <w:r>
        <w:rPr>
          <w:rFonts w:cs="Arial"/>
        </w:rPr>
        <w:t>je celá Česká republika, je Linka bezpečí, tato poskytuje zejména telefonickou krizovou intervenci, s dětmi pracuje také formou chatu, skypu, atd. Zaměřuje se také na oblast pomoci dospělým, pro které je zřízena rodičovská linka pomoci. Služby poskytuje be</w:t>
      </w:r>
      <w:r>
        <w:rPr>
          <w:rFonts w:cs="Arial"/>
        </w:rPr>
        <w:t>zplatně a nepřetržitě. Mezi další významné organizace lze v současné době zařadit Bílý kruh bezpečí, Acorus, aj.</w:t>
      </w:r>
    </w:p>
    <w:p w:rsidR="004505BF" w:rsidRDefault="004505BF">
      <w:pPr>
        <w:pStyle w:val="Standard"/>
        <w:spacing w:line="360" w:lineRule="auto"/>
        <w:jc w:val="both"/>
        <w:rPr>
          <w:rFonts w:ascii="Arial" w:hAnsi="Arial"/>
          <w:sz w:val="28"/>
        </w:rPr>
      </w:pPr>
    </w:p>
    <w:p w:rsidR="004505BF" w:rsidRDefault="002D4F7B">
      <w:pPr>
        <w:pStyle w:val="Standard"/>
        <w:pageBreakBefore/>
        <w:spacing w:line="360" w:lineRule="auto"/>
        <w:jc w:val="both"/>
      </w:pPr>
      <w:r>
        <w:rPr>
          <w:rFonts w:ascii="Arial" w:hAnsi="Arial"/>
          <w:b/>
          <w:sz w:val="28"/>
        </w:rPr>
        <w:lastRenderedPageBreak/>
        <w:t>6. Závěr</w:t>
      </w:r>
    </w:p>
    <w:p w:rsidR="004505BF" w:rsidRDefault="002D4F7B">
      <w:pPr>
        <w:pStyle w:val="Standard"/>
        <w:spacing w:line="360" w:lineRule="auto"/>
        <w:jc w:val="both"/>
        <w:rPr>
          <w:rFonts w:ascii="Arial" w:hAnsi="Arial"/>
          <w:sz w:val="28"/>
        </w:rPr>
      </w:pPr>
      <w:r>
        <w:rPr>
          <w:rFonts w:cs="Arial"/>
        </w:rPr>
        <w:tab/>
        <w:t>Vzhledem k rozsahu a charakteru této práce je jejím hlavním cílem shrnutí informací o syndromu CAN. Práce se zabývá jeho definicí, p</w:t>
      </w:r>
      <w:r>
        <w:rPr>
          <w:rFonts w:cs="Arial"/>
        </w:rPr>
        <w:t>rojevy a příznaky. Dále shrnuje techniku krizové intervence, jako jednu z možností řešení, při práci s obětí syndromu. Její nedílnou součástí je také kapitola o typech preventivních opatření a služeb poskytovaných v rámci České republiky. Práce si klade za</w:t>
      </w:r>
      <w:r>
        <w:rPr>
          <w:rFonts w:cs="Arial"/>
        </w:rPr>
        <w:t xml:space="preserve"> cíl stručné shrnutí s vědomím faktu, že informace o daném tématu jsou v dnešní době již poměrně rozsáhle popsané v dostupné odborné literatuře, z ní také její autorky, kromě přímé praxe se syndromem CAN, čerpaly s nadějí, že práce s lidmi jakkoliv zasažen</w:t>
      </w:r>
      <w:r>
        <w:rPr>
          <w:rFonts w:cs="Arial"/>
        </w:rPr>
        <w:t>ými tímto syndromem bude v České republice nadále rozvíjena a podporována.</w:t>
      </w:r>
    </w:p>
    <w:p w:rsidR="004505BF" w:rsidRDefault="002D4F7B">
      <w:pPr>
        <w:pStyle w:val="Standard"/>
        <w:pageBreakBefore/>
        <w:spacing w:line="360" w:lineRule="auto"/>
        <w:jc w:val="both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lastRenderedPageBreak/>
        <w:t>7. Použitá literatura a zdroje</w:t>
      </w:r>
    </w:p>
    <w:p w:rsidR="004505BF" w:rsidRDefault="004505B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 w:cs="Arial"/>
        </w:rPr>
        <w:t xml:space="preserve">ČÍRTKOVÁ, Ludmila a Petra VITOUŠOVÁ. </w:t>
      </w:r>
      <w:r>
        <w:rPr>
          <w:rFonts w:ascii="Arial" w:hAnsi="Arial" w:cs="Arial"/>
          <w:i/>
        </w:rPr>
        <w:t>Pomoc obětem (a svědkům) trestných činů: příručka pro pomáhající profese</w:t>
      </w:r>
      <w:r>
        <w:rPr>
          <w:rFonts w:ascii="Arial" w:hAnsi="Arial" w:cs="Arial"/>
        </w:rPr>
        <w:t>. Praha: Grada, 2007. ISBN 978-80-247-20</w:t>
      </w:r>
      <w:r>
        <w:rPr>
          <w:rFonts w:ascii="Arial" w:hAnsi="Arial" w:cs="Arial"/>
        </w:rPr>
        <w:t>14-2.</w:t>
      </w:r>
    </w:p>
    <w:p w:rsidR="004505BF" w:rsidRDefault="004505BF">
      <w:pPr>
        <w:pStyle w:val="Odstavecseseznamem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 w:cs="Arial"/>
        </w:rPr>
        <w:t xml:space="preserve">DUNOVSKÝ, Jiří, Zdeněk DYTRYCH a Zdeněk MATĚJČEK. </w:t>
      </w:r>
      <w:r>
        <w:rPr>
          <w:rFonts w:ascii="Arial" w:hAnsi="Arial" w:cs="Arial"/>
          <w:i/>
          <w:iCs/>
        </w:rPr>
        <w:t>Týrané, zneužívané a zanedbávané dítě</w:t>
      </w:r>
      <w:r>
        <w:rPr>
          <w:rFonts w:ascii="Arial" w:hAnsi="Arial" w:cs="Arial"/>
        </w:rPr>
        <w:t>. Praha: Grada, 1995. ISBN 80-7169-192-5.</w:t>
      </w:r>
    </w:p>
    <w:p w:rsidR="004505BF" w:rsidRDefault="004505BF">
      <w:pPr>
        <w:pStyle w:val="Odstavecseseznamem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 w:cs="Arial"/>
        </w:rPr>
        <w:t xml:space="preserve">ELLIOTT, Julian a Maurice PLACE. </w:t>
      </w:r>
      <w:r>
        <w:rPr>
          <w:rFonts w:ascii="Arial" w:hAnsi="Arial" w:cs="Arial"/>
          <w:i/>
        </w:rPr>
        <w:t>Dítě v nesnázích: prevence, příčiny, terapie</w:t>
      </w:r>
      <w:r>
        <w:rPr>
          <w:rFonts w:ascii="Arial" w:hAnsi="Arial" w:cs="Arial"/>
        </w:rPr>
        <w:t>. Praha: Grada, 2002. ISBN 80-247-0182-0.</w:t>
      </w:r>
    </w:p>
    <w:p w:rsidR="004505BF" w:rsidRDefault="004505B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 w:cs="Arial"/>
        </w:rPr>
        <w:t xml:space="preserve">ELLIOTT, Michele. </w:t>
      </w:r>
      <w:r>
        <w:rPr>
          <w:rFonts w:ascii="Arial" w:hAnsi="Arial" w:cs="Arial"/>
          <w:i/>
        </w:rPr>
        <w:t>Jak ochránit své dítě</w:t>
      </w:r>
      <w:r>
        <w:rPr>
          <w:rFonts w:ascii="Arial" w:hAnsi="Arial" w:cs="Arial"/>
        </w:rPr>
        <w:t>. Praha: Portál, 1995. ISBN 80-7178-034-0.</w:t>
      </w:r>
    </w:p>
    <w:p w:rsidR="004505BF" w:rsidRDefault="004505BF">
      <w:pPr>
        <w:pStyle w:val="Odstavecseseznamem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 w:cs="Arial"/>
        </w:rPr>
        <w:t xml:space="preserve">MATOUŠEK, Oldřich a kol. </w:t>
      </w:r>
      <w:r>
        <w:rPr>
          <w:rFonts w:ascii="Arial" w:hAnsi="Arial" w:cs="Arial"/>
          <w:i/>
        </w:rPr>
        <w:t>Sociální práce v praxi: specifika různých cílových skupin a práce s nimi</w:t>
      </w:r>
      <w:r>
        <w:rPr>
          <w:rFonts w:ascii="Arial" w:hAnsi="Arial" w:cs="Arial"/>
        </w:rPr>
        <w:t>. Praha: Portál, 2005, ISBN 80-7367-002-X.</w:t>
      </w:r>
    </w:p>
    <w:p w:rsidR="004505BF" w:rsidRDefault="004505BF">
      <w:pPr>
        <w:pStyle w:val="Odstavecseseznamem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 w:cs="Arial"/>
        </w:rPr>
        <w:t xml:space="preserve">SLANÝ, Jaroslav. </w:t>
      </w:r>
      <w:r>
        <w:rPr>
          <w:rFonts w:ascii="Arial" w:hAnsi="Arial" w:cs="Arial"/>
          <w:i/>
          <w:iCs/>
        </w:rPr>
        <w:t xml:space="preserve">Syndrom CAN: </w:t>
      </w:r>
      <w:r>
        <w:rPr>
          <w:rFonts w:ascii="Arial" w:hAnsi="Arial" w:cs="Arial"/>
          <w:i/>
          <w:iCs/>
        </w:rPr>
        <w:t>(syndrom týraného dítěte)</w:t>
      </w:r>
      <w:r>
        <w:rPr>
          <w:rFonts w:ascii="Arial" w:hAnsi="Arial" w:cs="Arial"/>
        </w:rPr>
        <w:t>. Ostrava: Ostravská univerzita, Zdravotně sociální fakulta, 2008. ISBN 978-80-7368-474-7.</w:t>
      </w:r>
    </w:p>
    <w:p w:rsidR="004505BF" w:rsidRDefault="004505BF">
      <w:pPr>
        <w:pStyle w:val="Standard"/>
        <w:spacing w:line="360" w:lineRule="auto"/>
        <w:jc w:val="both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 w:cs="Arial"/>
        </w:rPr>
        <w:t xml:space="preserve">STANĚK, Antonín (ed.). </w:t>
      </w:r>
      <w:r>
        <w:rPr>
          <w:rFonts w:ascii="Arial" w:hAnsi="Arial" w:cs="Arial"/>
          <w:i/>
        </w:rPr>
        <w:t>Násilí páchané na dětech: [sborník z konference: 12. dubna 2006]</w:t>
      </w:r>
      <w:r>
        <w:rPr>
          <w:rFonts w:ascii="Arial" w:hAnsi="Arial" w:cs="Arial"/>
        </w:rPr>
        <w:t>. Olomouc: Univerzita Palackého v Olomouci, 2006. IS</w:t>
      </w:r>
      <w:r>
        <w:rPr>
          <w:rFonts w:ascii="Arial" w:hAnsi="Arial" w:cs="Arial"/>
        </w:rPr>
        <w:t>BN 80-244-1430-9.</w:t>
      </w:r>
    </w:p>
    <w:p w:rsidR="004505BF" w:rsidRDefault="004505BF">
      <w:pPr>
        <w:pStyle w:val="Odstavecseseznamem"/>
        <w:rPr>
          <w:rFonts w:ascii="Arial" w:hAnsi="Arial" w:cs="Arial"/>
        </w:rPr>
      </w:pPr>
    </w:p>
    <w:p w:rsidR="004505BF" w:rsidRDefault="002D4F7B">
      <w:pPr>
        <w:pStyle w:val="Standard"/>
        <w:spacing w:line="360" w:lineRule="auto"/>
        <w:jc w:val="both"/>
      </w:pPr>
      <w:r>
        <w:rPr>
          <w:rFonts w:ascii="Arial" w:hAnsi="Arial" w:cs="Arial"/>
        </w:rPr>
        <w:t xml:space="preserve">VANÍČKOVÁ, Eva, Zuzana HADJ-MOUSSOVÁ a Hana PROVAZNÍKOVÁ. </w:t>
      </w:r>
      <w:r>
        <w:rPr>
          <w:rFonts w:ascii="Arial" w:hAnsi="Arial" w:cs="Arial"/>
          <w:i/>
        </w:rPr>
        <w:t>Násilí v rodině: syndrom zneužívaného a zanedbávaného dítěte: skripta pro posluchače 3. lékařské fakulty Univerzity Karlovy</w:t>
      </w:r>
      <w:r>
        <w:rPr>
          <w:rFonts w:ascii="Arial" w:hAnsi="Arial" w:cs="Arial"/>
        </w:rPr>
        <w:t>. Praha: Karolinum, 1995. ISBN 80-7184-008-4.</w:t>
      </w:r>
    </w:p>
    <w:sectPr w:rsidR="004505BF">
      <w:type w:val="continuous"/>
      <w:pgSz w:w="11905" w:h="16837"/>
      <w:pgMar w:top="708" w:right="1411" w:bottom="1134" w:left="1710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F7B" w:rsidRDefault="002D4F7B">
      <w:r>
        <w:separator/>
      </w:r>
    </w:p>
  </w:endnote>
  <w:endnote w:type="continuationSeparator" w:id="0">
    <w:p w:rsidR="002D4F7B" w:rsidRDefault="002D4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048" w:rsidRDefault="002D4F7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F7B" w:rsidRDefault="002D4F7B">
      <w:r>
        <w:rPr>
          <w:color w:val="000000"/>
        </w:rPr>
        <w:separator/>
      </w:r>
    </w:p>
  </w:footnote>
  <w:footnote w:type="continuationSeparator" w:id="0">
    <w:p w:rsidR="002D4F7B" w:rsidRDefault="002D4F7B">
      <w:r>
        <w:continuationSeparator/>
      </w:r>
    </w:p>
  </w:footnote>
  <w:footnote w:id="1">
    <w:p w:rsidR="004505BF" w:rsidRDefault="002D4F7B">
      <w:pPr>
        <w:pStyle w:val="Footnote"/>
      </w:pPr>
      <w:r>
        <w:rPr>
          <w:rStyle w:val="Znakapoznpodarou"/>
        </w:rPr>
        <w:footnoteRef/>
      </w:r>
      <w:r>
        <w:t xml:space="preserve"> SLANÝ, Jaroslav. Syndrom CAN: (syndrom týraného dítěte). Ostrava: Ostravská univerzita, Zdravotně sociální fakulta, 2008. ISBN 978-80-7368-474-7.</w:t>
      </w:r>
    </w:p>
  </w:footnote>
  <w:footnote w:id="2">
    <w:p w:rsidR="004505BF" w:rsidRDefault="002D4F7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VAN</w:t>
      </w:r>
      <w:r>
        <w:t xml:space="preserve">ÍČKOVÁ, Eva, Zuzana HADJ-MOUSSOVÁ a Hana PROVAZNÍKOVÁ. </w:t>
      </w:r>
      <w:r>
        <w:rPr>
          <w:i/>
          <w:iCs/>
        </w:rPr>
        <w:t>Násilí v rodině: syndrom zneužívaného a zanedbávaného dítěte: skripta pro posluchače 3. lékařské fakulty Univerzity Karlovy</w:t>
      </w:r>
      <w:r>
        <w:t>. Praha: Karolinum, 1995. ISBN 80-7184-008-4., s. 6.</w:t>
      </w:r>
    </w:p>
  </w:footnote>
  <w:footnote w:id="3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4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T</w:t>
      </w:r>
      <w:r>
        <w:t>amtéž</w:t>
      </w:r>
    </w:p>
  </w:footnote>
  <w:footnote w:id="5">
    <w:p w:rsidR="004505BF" w:rsidRDefault="002D4F7B">
      <w:pPr>
        <w:pStyle w:val="Footnote"/>
      </w:pPr>
      <w:r>
        <w:rPr>
          <w:rStyle w:val="Znakapoznpodarou"/>
        </w:rPr>
        <w:footnoteRef/>
      </w:r>
      <w:r>
        <w:t xml:space="preserve"> SLANÝ, 2008, s. 13</w:t>
      </w:r>
    </w:p>
  </w:footnote>
  <w:footnote w:id="6">
    <w:p w:rsidR="004505BF" w:rsidRDefault="002D4F7B">
      <w:pPr>
        <w:pStyle w:val="Footnote"/>
        <w:jc w:val="both"/>
      </w:pPr>
      <w:r>
        <w:rPr>
          <w:rStyle w:val="Znakapoznpodarou"/>
        </w:rPr>
        <w:footnoteRef/>
      </w:r>
      <w:r>
        <w:t>DUNOVSKÝ, Jiří, Zdeněk DYTRYCH a Zdeněk MATĚJČEK. Týrané, zneužívané a zanedbávané dítě. Praha: Grada, 1995. ISBN 80-7169-192-5., s. 24.</w:t>
      </w:r>
    </w:p>
  </w:footnote>
  <w:footnote w:id="7">
    <w:p w:rsidR="004505BF" w:rsidRDefault="002D4F7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ELLIOTT, Julian a Maurice PLACE. </w:t>
      </w:r>
      <w:r>
        <w:rPr>
          <w:i/>
        </w:rPr>
        <w:t>Dítě v nesnázích: prevence, příčiny, terapie</w:t>
      </w:r>
      <w:r>
        <w:t>. P</w:t>
      </w:r>
      <w:r>
        <w:t>raha: Grada, 2002. ISBN 80-247-0182-0.</w:t>
      </w:r>
    </w:p>
  </w:footnote>
  <w:footnote w:id="8">
    <w:p w:rsidR="004505BF" w:rsidRDefault="002D4F7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MATOUŠEK, Oldřich a kol. </w:t>
      </w:r>
      <w:r>
        <w:rPr>
          <w:i/>
          <w:iCs/>
        </w:rPr>
        <w:t>Sociální práce v praxi: specifika různých cílových skupin a práce s nimi</w:t>
      </w:r>
      <w:r>
        <w:t>. Praha: Portál, 2005, ISBN 80-7367-002-X.</w:t>
      </w:r>
    </w:p>
  </w:footnote>
  <w:footnote w:id="9">
    <w:p w:rsidR="004505BF" w:rsidRDefault="002D4F7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VANÍČKOVÁ, HADJ-MOUSSOVÁ, PROVAZNÍKOVÁ, 1995, s. 40.</w:t>
      </w:r>
    </w:p>
  </w:footnote>
  <w:footnote w:id="10">
    <w:p w:rsidR="004505BF" w:rsidRDefault="002D4F7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STANĚK, Antonín (ed.). </w:t>
      </w:r>
      <w:r>
        <w:rPr>
          <w:i/>
          <w:iCs/>
        </w:rPr>
        <w:t>Násilí páchané na dětech: [sborník z konference: 12. dubna 2006]</w:t>
      </w:r>
      <w:r>
        <w:t>. Olomouc: Univerzita Palackého v Olomouci, 2006. ISBN 80-244-14</w:t>
      </w:r>
      <w:r>
        <w:t>30-9.</w:t>
      </w:r>
    </w:p>
  </w:footnote>
  <w:footnote w:id="11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VANÍČKOVÁ, HAD</w:t>
      </w:r>
      <w:r>
        <w:t>J-MOUSSOVÁ, PROVAZNÍKOVÁ, 1995, s. 40.</w:t>
      </w:r>
    </w:p>
  </w:footnote>
  <w:footnote w:id="12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ČÍRTKOVÁ, Ludmila a Petra VITOUŠOVÁ. </w:t>
      </w:r>
      <w:r>
        <w:rPr>
          <w:i/>
          <w:iCs/>
        </w:rPr>
        <w:t xml:space="preserve">Pomoc obětem (a svědkům) trestných činů: příručka pro pomáhající </w:t>
      </w:r>
      <w:r>
        <w:rPr>
          <w:i/>
          <w:iCs/>
        </w:rPr>
        <w:t>profese</w:t>
      </w:r>
      <w:r>
        <w:t>. Praha: Grada, 2007. ISBN 978-80-247-2014-2., s. 52.</w:t>
      </w:r>
    </w:p>
  </w:footnote>
  <w:footnote w:id="13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V</w:t>
      </w:r>
      <w:r>
        <w:t>ANÍČKOVÁ, HADJ-MOUSSOVÁ, PROVAZNÍKOVÁ, 1995.</w:t>
      </w:r>
    </w:p>
  </w:footnote>
  <w:footnote w:id="14">
    <w:p w:rsidR="004505BF" w:rsidRDefault="002D4F7B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ČÍRTKOVÁ, VITOUŠOVÁ, 2007.</w:t>
      </w:r>
    </w:p>
  </w:footnote>
  <w:footnote w:id="15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VANÍČKOVÁ, HADJ-MOUSSOVÁ, PROVAZNÍKOVÁ, 1995, s. 35.</w:t>
      </w:r>
    </w:p>
  </w:footnote>
  <w:footnote w:id="16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Tamtéž</w:t>
      </w:r>
    </w:p>
  </w:footnote>
  <w:footnote w:id="17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STANĚK, 2006, s. 48.</w:t>
      </w:r>
    </w:p>
  </w:footnote>
  <w:footnote w:id="18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ELLIOTT, Michele. </w:t>
      </w:r>
      <w:r>
        <w:rPr>
          <w:i/>
          <w:iCs/>
        </w:rPr>
        <w:t>Jak ochránit své dítě</w:t>
      </w:r>
      <w:r>
        <w:t>. Praha: Portál, 1995. ISBN 80-7178-034-0.</w:t>
      </w:r>
    </w:p>
  </w:footnote>
  <w:footnote w:id="19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MATOUŠEK, 2005, s. 28.</w:t>
      </w:r>
    </w:p>
  </w:footnote>
  <w:footnote w:id="20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STANĚK, 2006; ELLIOTT, 1995.</w:t>
      </w:r>
    </w:p>
  </w:footnote>
  <w:footnote w:id="21">
    <w:p w:rsidR="004505BF" w:rsidRDefault="002D4F7B">
      <w:pPr>
        <w:pStyle w:val="Footnote"/>
      </w:pPr>
      <w:r>
        <w:rPr>
          <w:rStyle w:val="Znakapoznpodarou"/>
        </w:rPr>
        <w:footnoteRef/>
      </w:r>
      <w:r>
        <w:t xml:space="preserve"> ELLIOTT, 1995; ČÍRTKOVÁ, VITOUŠOVÁ, 2007.</w:t>
      </w:r>
    </w:p>
  </w:footnote>
  <w:footnote w:id="22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ČÍRTKOVÁ, VITOUŠOVÁ, 2007, s. 51.</w:t>
      </w:r>
    </w:p>
  </w:footnote>
  <w:footnote w:id="23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ELLIOTT, PLACE, 2002, s. 95.</w:t>
      </w:r>
    </w:p>
  </w:footnote>
  <w:footnote w:id="24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STANĚK, 2006</w:t>
      </w:r>
    </w:p>
  </w:footnote>
  <w:footnote w:id="25">
    <w:p w:rsidR="004505BF" w:rsidRDefault="002D4F7B">
      <w:pPr>
        <w:pStyle w:val="Textpoznpodarou"/>
      </w:pPr>
      <w:r>
        <w:rPr>
          <w:rStyle w:val="Znakapoznpodarou"/>
        </w:rPr>
        <w:footnoteRef/>
      </w:r>
      <w:r>
        <w:t xml:space="preserve"> MATOUŠEK, 2005; VANÍČKOVÁ, HADJ-MOUSSOVÁ, PROVAZNÍKOVÁ, 1995.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742BC"/>
    <w:multiLevelType w:val="multilevel"/>
    <w:tmpl w:val="CD4C8536"/>
    <w:lvl w:ilvl="0"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">
    <w:nsid w:val="354901CF"/>
    <w:multiLevelType w:val="multilevel"/>
    <w:tmpl w:val="12ACAB5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856FF9"/>
    <w:multiLevelType w:val="multilevel"/>
    <w:tmpl w:val="F4D07E3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4505BF"/>
    <w:rsid w:val="002D4F7B"/>
    <w:rsid w:val="004505BF"/>
    <w:rsid w:val="0052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D28B9C-491E-40E0-BACD-A744E05EB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7">
    <w:name w:val="heading 7"/>
    <w:basedOn w:val="Standard"/>
    <w:next w:val="Standard"/>
    <w:pPr>
      <w:keepNext/>
      <w:spacing w:line="360" w:lineRule="auto"/>
      <w:outlineLvl w:val="6"/>
    </w:pPr>
    <w:rPr>
      <w:rFonts w:ascii="Arial" w:hAnsi="Arial"/>
      <w:b/>
      <w:sz w:val="32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paragraph" w:styleId="Textbubliny">
    <w:name w:val="Balloon Text"/>
    <w:basedOn w:val="Normln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rPr>
      <w:sz w:val="20"/>
      <w:szCs w:val="20"/>
    </w:rPr>
  </w:style>
  <w:style w:type="paragraph" w:styleId="Textvysvtlivek">
    <w:name w:val="endnote text"/>
    <w:basedOn w:val="Normln"/>
    <w:rPr>
      <w:sz w:val="20"/>
      <w:szCs w:val="20"/>
    </w:rPr>
  </w:style>
  <w:style w:type="paragraph" w:styleId="Odstavecseseznamem">
    <w:name w:val="List Paragraph"/>
    <w:basedOn w:val="Normln"/>
    <w:pPr>
      <w:ind w:left="72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Internetlink">
    <w:name w:val="Internet link"/>
    <w:rPr>
      <w:color w:val="000080"/>
      <w:u w:val="single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sz w:val="20"/>
      <w:szCs w:val="20"/>
    </w:rPr>
  </w:style>
  <w:style w:type="character" w:customStyle="1" w:styleId="PedmtkomenteChar">
    <w:name w:val="Předmět komentáře Char"/>
    <w:basedOn w:val="TextkomenteChar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TextpoznpodarouChar">
    <w:name w:val="Text pozn. pod čarou Char"/>
    <w:basedOn w:val="Standardnpsmoodstavce"/>
    <w:rPr>
      <w:sz w:val="20"/>
      <w:szCs w:val="20"/>
    </w:rPr>
  </w:style>
  <w:style w:type="character" w:customStyle="1" w:styleId="TextvysvtlivekChar">
    <w:name w:val="Text vysvětlivek Char"/>
    <w:basedOn w:val="Standardnpsmoodstavce"/>
    <w:rPr>
      <w:sz w:val="20"/>
      <w:szCs w:val="20"/>
    </w:rPr>
  </w:style>
  <w:style w:type="character" w:styleId="Odkaznavysvtlivky">
    <w:name w:val="endnote reference"/>
    <w:basedOn w:val="Standardnpsmoodstavce"/>
    <w:rPr>
      <w:position w:val="0"/>
      <w:vertAlign w:val="superscript"/>
    </w:rPr>
  </w:style>
  <w:style w:type="character" w:customStyle="1" w:styleId="ZhlavChar">
    <w:name w:val="Záhlaví Char"/>
    <w:basedOn w:val="Standardnpsmoodstavce"/>
  </w:style>
  <w:style w:type="character" w:customStyle="1" w:styleId="ZpatChar">
    <w:name w:val="Zápatí Char"/>
    <w:basedOn w:val="Standardnpsmoodstavce"/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Downloads/Syndrom%20CAN.odt/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2109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FFUK</dc:creator>
  <cp:lastModifiedBy>FFUK</cp:lastModifiedBy>
  <cp:revision>2</cp:revision>
  <dcterms:created xsi:type="dcterms:W3CDTF">2016-02-03T19:46:00Z</dcterms:created>
  <dcterms:modified xsi:type="dcterms:W3CDTF">2016-02-03T19:46:00Z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