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4E" w:rsidRDefault="009C5A4E" w:rsidP="005D5FA6">
      <w:pPr>
        <w:pStyle w:val="NADPIS"/>
        <w:rPr>
          <w:sz w:val="36"/>
          <w:u w:val="none"/>
        </w:rPr>
      </w:pPr>
    </w:p>
    <w:p w:rsidR="009C5A4E" w:rsidRDefault="009C5A4E" w:rsidP="005D5FA6">
      <w:pPr>
        <w:pStyle w:val="NADPIS"/>
        <w:rPr>
          <w:sz w:val="36"/>
          <w:u w:val="none"/>
        </w:rPr>
      </w:pPr>
    </w:p>
    <w:p w:rsidR="009C5A4E" w:rsidRDefault="009C5A4E" w:rsidP="005D5FA6">
      <w:pPr>
        <w:pStyle w:val="NADPIS"/>
        <w:rPr>
          <w:sz w:val="36"/>
          <w:u w:val="none"/>
        </w:rPr>
      </w:pPr>
    </w:p>
    <w:p w:rsidR="009C5A4E" w:rsidRDefault="009C5A4E" w:rsidP="005D5FA6">
      <w:pPr>
        <w:pStyle w:val="NADPIS"/>
        <w:rPr>
          <w:sz w:val="36"/>
          <w:u w:val="none"/>
        </w:rPr>
      </w:pPr>
    </w:p>
    <w:p w:rsidR="009C5A4E" w:rsidRDefault="009C5A4E" w:rsidP="005D5FA6">
      <w:pPr>
        <w:pStyle w:val="NADPIS"/>
        <w:rPr>
          <w:sz w:val="36"/>
          <w:u w:val="none"/>
        </w:rPr>
      </w:pPr>
    </w:p>
    <w:p w:rsidR="009C5A4E" w:rsidRDefault="009C5A4E" w:rsidP="005D5FA6">
      <w:pPr>
        <w:pStyle w:val="NADPIS"/>
        <w:rPr>
          <w:sz w:val="36"/>
          <w:u w:val="none"/>
        </w:rPr>
      </w:pPr>
    </w:p>
    <w:p w:rsidR="009C5A4E" w:rsidRPr="009758F9" w:rsidRDefault="009C5A4E" w:rsidP="005D5FA6">
      <w:pPr>
        <w:pStyle w:val="NADPIS"/>
        <w:rPr>
          <w:i/>
          <w:sz w:val="36"/>
          <w:u w:val="none"/>
        </w:rPr>
      </w:pPr>
    </w:p>
    <w:p w:rsidR="009C5A4E" w:rsidRPr="009758F9" w:rsidRDefault="009C5A4E" w:rsidP="005D5FA6">
      <w:pPr>
        <w:pStyle w:val="NADPIS"/>
        <w:rPr>
          <w:i/>
          <w:sz w:val="36"/>
          <w:u w:val="none"/>
        </w:rPr>
      </w:pPr>
    </w:p>
    <w:p w:rsidR="009758F9" w:rsidRPr="009758F9" w:rsidRDefault="009C5A4E" w:rsidP="009758F9">
      <w:pPr>
        <w:pStyle w:val="NADPIS"/>
        <w:rPr>
          <w:i/>
          <w:sz w:val="36"/>
          <w:szCs w:val="36"/>
        </w:rPr>
      </w:pPr>
      <w:r w:rsidRPr="009758F9">
        <w:rPr>
          <w:i/>
          <w:sz w:val="36"/>
          <w:szCs w:val="36"/>
        </w:rPr>
        <w:t>Srovnávací studie dvou odborných knih</w:t>
      </w:r>
    </w:p>
    <w:p w:rsidR="009758F9" w:rsidRPr="009758F9" w:rsidRDefault="009758F9" w:rsidP="009758F9">
      <w:pPr>
        <w:pStyle w:val="NADPIS"/>
        <w:rPr>
          <w:i/>
          <w:szCs w:val="28"/>
        </w:rPr>
      </w:pPr>
      <w:r w:rsidRPr="009758F9">
        <w:rPr>
          <w:i/>
          <w:szCs w:val="28"/>
          <w:u w:val="none"/>
        </w:rPr>
        <w:t>T</w:t>
      </w:r>
      <w:r>
        <w:rPr>
          <w:i/>
          <w:szCs w:val="28"/>
          <w:u w:val="none"/>
        </w:rPr>
        <w:t xml:space="preserve">éma: </w:t>
      </w:r>
      <w:r w:rsidRPr="009758F9">
        <w:rPr>
          <w:i/>
          <w:szCs w:val="28"/>
          <w:u w:val="none"/>
        </w:rPr>
        <w:t>Gamblerství a hráčská vášeň</w:t>
      </w:r>
    </w:p>
    <w:p w:rsidR="009758F9" w:rsidRPr="009758F9" w:rsidRDefault="009758F9" w:rsidP="005D5FA6">
      <w:pPr>
        <w:pStyle w:val="NADPIS"/>
        <w:rPr>
          <w:sz w:val="24"/>
          <w:szCs w:val="24"/>
          <w:u w:val="none"/>
        </w:rPr>
      </w:pPr>
    </w:p>
    <w:p w:rsidR="009C5A4E" w:rsidRPr="009758F9" w:rsidRDefault="009C5A4E" w:rsidP="009C5A4E">
      <w:pPr>
        <w:pStyle w:val="NADPIS"/>
        <w:jc w:val="left"/>
        <w:rPr>
          <w:sz w:val="24"/>
          <w:szCs w:val="24"/>
          <w:u w:val="none"/>
        </w:rPr>
      </w:pPr>
    </w:p>
    <w:p w:rsidR="009C5A4E" w:rsidRPr="009758F9" w:rsidRDefault="009C5A4E" w:rsidP="009C5A4E">
      <w:pPr>
        <w:pStyle w:val="NADPIS"/>
        <w:jc w:val="left"/>
        <w:rPr>
          <w:sz w:val="24"/>
          <w:szCs w:val="24"/>
          <w:u w:val="none"/>
        </w:rPr>
      </w:pPr>
    </w:p>
    <w:p w:rsidR="009C5A4E" w:rsidRPr="009758F9" w:rsidRDefault="009C5A4E" w:rsidP="009C5A4E">
      <w:pPr>
        <w:pStyle w:val="NADPIS"/>
        <w:jc w:val="left"/>
        <w:rPr>
          <w:sz w:val="24"/>
          <w:szCs w:val="24"/>
          <w:u w:val="none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Default="009758F9">
      <w:pPr>
        <w:rPr>
          <w:rFonts w:ascii="Times New Roman" w:eastAsiaTheme="minorHAnsi" w:hAnsi="Times New Roman"/>
          <w:b/>
          <w:sz w:val="36"/>
        </w:rPr>
      </w:pPr>
    </w:p>
    <w:p w:rsidR="009758F9" w:rsidRPr="009758F9" w:rsidRDefault="009758F9">
      <w:pPr>
        <w:rPr>
          <w:rFonts w:ascii="Times New Roman" w:eastAsiaTheme="minorHAnsi" w:hAnsi="Times New Roman"/>
          <w:b/>
          <w:sz w:val="28"/>
        </w:rPr>
      </w:pPr>
    </w:p>
    <w:p w:rsidR="00EC7BE9" w:rsidRDefault="00EC7BE9" w:rsidP="005D5FA6">
      <w:pPr>
        <w:pStyle w:val="NADPIS"/>
      </w:pPr>
      <w:r w:rsidRPr="000C2E5C">
        <w:lastRenderedPageBreak/>
        <w:t xml:space="preserve">Gamblerství a hráčská </w:t>
      </w:r>
      <w:r w:rsidRPr="00EC7BE9">
        <w:t>vášeň</w:t>
      </w:r>
    </w:p>
    <w:p w:rsidR="00EC7BE9" w:rsidRPr="009758F9" w:rsidRDefault="00EC7BE9" w:rsidP="00EC7BE9">
      <w:pPr>
        <w:pStyle w:val="TEXT"/>
        <w:jc w:val="center"/>
        <w:rPr>
          <w:b/>
          <w:i/>
          <w:sz w:val="24"/>
          <w:szCs w:val="24"/>
        </w:rPr>
      </w:pPr>
      <w:r w:rsidRPr="009758F9">
        <w:rPr>
          <w:b/>
          <w:i/>
          <w:sz w:val="24"/>
          <w:szCs w:val="24"/>
        </w:rPr>
        <w:t xml:space="preserve">Jak předcházet vzniku závislosti na hazardních hrách, patologickému hráčství? </w:t>
      </w:r>
    </w:p>
    <w:p w:rsidR="00EC7BE9" w:rsidRDefault="00EC7BE9" w:rsidP="00EC7BE9">
      <w:pPr>
        <w:pStyle w:val="TEXT"/>
        <w:jc w:val="center"/>
      </w:pPr>
    </w:p>
    <w:p w:rsidR="009758F9" w:rsidRDefault="009758F9" w:rsidP="009758F9">
      <w:pPr>
        <w:pStyle w:val="TEXT"/>
        <w:ind w:firstLine="708"/>
        <w:jc w:val="left"/>
      </w:pPr>
      <w:r w:rsidRPr="009758F9">
        <w:rPr>
          <w:b/>
          <w:u w:val="single"/>
        </w:rPr>
        <w:t>Zdroje</w:t>
      </w:r>
      <w:r>
        <w:t>:</w:t>
      </w:r>
    </w:p>
    <w:p w:rsidR="006552CE" w:rsidRDefault="006552CE" w:rsidP="006552CE">
      <w:pPr>
        <w:pStyle w:val="TEXT"/>
        <w:numPr>
          <w:ilvl w:val="0"/>
          <w:numId w:val="49"/>
        </w:numPr>
        <w:rPr>
          <w:b/>
        </w:rPr>
      </w:pPr>
      <w:r w:rsidRPr="006552CE">
        <w:rPr>
          <w:b/>
        </w:rPr>
        <w:t xml:space="preserve">PRUNNER, Pavel. </w:t>
      </w:r>
      <w:r w:rsidRPr="006552CE">
        <w:rPr>
          <w:b/>
          <w:i/>
        </w:rPr>
        <w:t>Psychologie gamblerství aneb Sázka na štěstí.</w:t>
      </w:r>
      <w:r w:rsidRPr="006552CE">
        <w:rPr>
          <w:b/>
        </w:rPr>
        <w:t xml:space="preserve"> Plzeň: Aleš Čeněk, 2008. </w:t>
      </w:r>
      <w:r>
        <w:rPr>
          <w:b/>
        </w:rPr>
        <w:br/>
      </w:r>
      <w:r w:rsidRPr="006552CE">
        <w:rPr>
          <w:b/>
        </w:rPr>
        <w:t>ISBN 978-80-7380-074-1</w:t>
      </w:r>
      <w:r>
        <w:rPr>
          <w:b/>
        </w:rPr>
        <w:t>.</w:t>
      </w:r>
    </w:p>
    <w:p w:rsidR="006552CE" w:rsidRDefault="006552CE" w:rsidP="006552CE">
      <w:pPr>
        <w:pStyle w:val="TEXT"/>
        <w:ind w:left="720" w:firstLine="0"/>
        <w:rPr>
          <w:b/>
        </w:rPr>
      </w:pPr>
    </w:p>
    <w:p w:rsidR="006552CE" w:rsidRDefault="006552CE" w:rsidP="006552CE">
      <w:pPr>
        <w:pStyle w:val="TEXT"/>
        <w:numPr>
          <w:ilvl w:val="0"/>
          <w:numId w:val="49"/>
        </w:numPr>
        <w:rPr>
          <w:b/>
        </w:rPr>
      </w:pPr>
      <w:r w:rsidRPr="006552CE">
        <w:rPr>
          <w:b/>
        </w:rPr>
        <w:t xml:space="preserve">NEŠPOR, Karel a kol. </w:t>
      </w:r>
      <w:r w:rsidRPr="006552CE">
        <w:rPr>
          <w:b/>
          <w:i/>
        </w:rPr>
        <w:t>Jak překonat hazard: prevence, krátká intervence a léčba.</w:t>
      </w:r>
      <w:r w:rsidRPr="006552CE">
        <w:rPr>
          <w:b/>
        </w:rPr>
        <w:t xml:space="preserve"> Praha: Portál, 2011. ISBN 978-80-262-0009-3</w:t>
      </w:r>
      <w:r>
        <w:rPr>
          <w:b/>
        </w:rPr>
        <w:t>.</w:t>
      </w:r>
    </w:p>
    <w:p w:rsidR="006552CE" w:rsidRPr="006552CE" w:rsidRDefault="006552CE" w:rsidP="006552CE">
      <w:pPr>
        <w:pStyle w:val="TEXT"/>
        <w:ind w:firstLine="0"/>
        <w:rPr>
          <w:b/>
        </w:rPr>
      </w:pPr>
      <w:bookmarkStart w:id="0" w:name="_GoBack"/>
      <w:bookmarkEnd w:id="0"/>
    </w:p>
    <w:p w:rsidR="00EC7BE9" w:rsidRDefault="00EC7BE9" w:rsidP="00EC7BE9">
      <w:pPr>
        <w:pStyle w:val="MUJPODNADPIS"/>
        <w:numPr>
          <w:ilvl w:val="0"/>
          <w:numId w:val="50"/>
        </w:numPr>
      </w:pPr>
      <w:r>
        <w:t>Jak autoři definují problém a jeho klíčová slova?</w:t>
      </w:r>
    </w:p>
    <w:p w:rsidR="00F435D5" w:rsidRDefault="00EC7BE9" w:rsidP="000B0CC6">
      <w:pPr>
        <w:pStyle w:val="MUJTEXT"/>
        <w:rPr>
          <w:i/>
        </w:rPr>
      </w:pPr>
      <w:r>
        <w:t xml:space="preserve">První autor </w:t>
      </w:r>
      <w:r w:rsidR="00EF38D0">
        <w:t>se při definici problému opírá</w:t>
      </w:r>
      <w:r w:rsidR="000B0CC6">
        <w:t xml:space="preserve"> o aspekt vzrušení ze hry. </w:t>
      </w:r>
      <w:r w:rsidRPr="00EC7BE9">
        <w:rPr>
          <w:i/>
        </w:rPr>
        <w:t>„</w:t>
      </w:r>
      <w:r w:rsidR="009B7D5D" w:rsidRPr="006B1951">
        <w:rPr>
          <w:b/>
          <w:i/>
        </w:rPr>
        <w:t>Vzrušení ze hry</w:t>
      </w:r>
      <w:r w:rsidR="009B7D5D">
        <w:rPr>
          <w:i/>
        </w:rPr>
        <w:t xml:space="preserve"> často doprovází i touha, která nabývá při hazardní hře většinou destruktivních rozměrů. Schopnost sebeovládání se u konkrétního jedince značně oslabuje a nabývá velmi křehké podoby. Cesta k devastující závislosti je pak mnohdy výrazně kratší, než je hrající osobou předpokládáno.</w:t>
      </w:r>
      <w:r w:rsidR="00DD420D">
        <w:rPr>
          <w:i/>
        </w:rPr>
        <w:t>“</w:t>
      </w:r>
      <w:r w:rsidR="00DD420D">
        <w:rPr>
          <w:rStyle w:val="Znakapoznpodarou"/>
          <w:i/>
        </w:rPr>
        <w:footnoteReference w:id="1"/>
      </w:r>
      <w:r w:rsidR="00925F96">
        <w:t xml:space="preserve"> </w:t>
      </w:r>
      <w:r w:rsidR="00F435D5">
        <w:t xml:space="preserve">Dle </w:t>
      </w:r>
      <w:r w:rsidR="00D726D4">
        <w:t xml:space="preserve">prvního </w:t>
      </w:r>
      <w:r w:rsidR="00F435D5">
        <w:t xml:space="preserve">autora se v současné době odborníci přiklánějí k názoru, že </w:t>
      </w:r>
      <w:r w:rsidR="00F435D5" w:rsidRPr="006B1951">
        <w:rPr>
          <w:b/>
        </w:rPr>
        <w:t>patologické hráčství</w:t>
      </w:r>
      <w:r w:rsidR="00F435D5">
        <w:t xml:space="preserve"> lze definovat jako „posedle – nutkavou“ závislost, citovou poruchu a poruchu kontroly impulzů, jelikož patologické hráčství částečně vykazuje znaky všech těchto skupin.</w:t>
      </w:r>
      <w:r w:rsidR="00F435D5">
        <w:rPr>
          <w:rStyle w:val="Znakapoznpodarou"/>
        </w:rPr>
        <w:footnoteReference w:id="2"/>
      </w:r>
      <w:r w:rsidR="006B1951">
        <w:t xml:space="preserve"> Opírá se o klíčová slova jako hazard, hazardní hra, </w:t>
      </w:r>
      <w:r w:rsidR="00D726D4">
        <w:t>patologický hráč a hráčská vášeň</w:t>
      </w:r>
      <w:r w:rsidR="006B1951">
        <w:t xml:space="preserve">. </w:t>
      </w:r>
      <w:r w:rsidR="006B1951" w:rsidRPr="006B1951">
        <w:rPr>
          <w:i/>
        </w:rPr>
        <w:t>„</w:t>
      </w:r>
      <w:r w:rsidR="006B1951" w:rsidRPr="006B1951">
        <w:rPr>
          <w:b/>
          <w:i/>
        </w:rPr>
        <w:t>Hazard</w:t>
      </w:r>
      <w:r w:rsidR="006B1951" w:rsidRPr="006B1951">
        <w:rPr>
          <w:i/>
        </w:rPr>
        <w:t xml:space="preserve"> slouží k označení velmi riskantního podnikání, jednání, jehož výsledek závisí na šťastné náhodě.“</w:t>
      </w:r>
      <w:r w:rsidR="006B1951">
        <w:rPr>
          <w:rStyle w:val="Znakapoznpodarou"/>
        </w:rPr>
        <w:footnoteReference w:id="3"/>
      </w:r>
      <w:r w:rsidR="006B1951">
        <w:rPr>
          <w:i/>
        </w:rPr>
        <w:t xml:space="preserve"> „</w:t>
      </w:r>
      <w:r w:rsidR="006B1951" w:rsidRPr="006B1951">
        <w:rPr>
          <w:b/>
          <w:i/>
        </w:rPr>
        <w:t>Hazardní hra</w:t>
      </w:r>
      <w:r w:rsidR="006B1951">
        <w:rPr>
          <w:i/>
        </w:rPr>
        <w:t xml:space="preserve"> (</w:t>
      </w:r>
      <w:proofErr w:type="spellStart"/>
      <w:r w:rsidR="006B1951">
        <w:rPr>
          <w:i/>
        </w:rPr>
        <w:t>gambling</w:t>
      </w:r>
      <w:proofErr w:type="spellEnd"/>
      <w:r w:rsidR="006B1951">
        <w:rPr>
          <w:i/>
        </w:rPr>
        <w:t>) je hrou, v níž si hráč může koupit výhru, která je založena na riziku a možnosti vysokých finančních výher či ztrát.“</w:t>
      </w:r>
      <w:r w:rsidR="006B1951">
        <w:rPr>
          <w:rStyle w:val="Znakapoznpodarou"/>
          <w:i/>
        </w:rPr>
        <w:footnoteReference w:id="4"/>
      </w:r>
      <w:r w:rsidR="00D726D4">
        <w:rPr>
          <w:i/>
        </w:rPr>
        <w:t xml:space="preserve"> </w:t>
      </w:r>
      <w:r w:rsidR="00D726D4">
        <w:t xml:space="preserve">Při definici patologického hráče se první autor opírá o MUDr. Karla Nešpora, kdy </w:t>
      </w:r>
      <w:r w:rsidR="00D726D4" w:rsidRPr="00D726D4">
        <w:rPr>
          <w:b/>
        </w:rPr>
        <w:t>patologického hráče</w:t>
      </w:r>
      <w:r w:rsidR="00D726D4">
        <w:t xml:space="preserve"> definuje jako jedince, který trvale opakuje svoji herní aktivitu a často, i přes vznikající negativní důsledky této činnosti, zvyšuje její intenzitu.</w:t>
      </w:r>
      <w:r w:rsidR="00D726D4">
        <w:rPr>
          <w:rStyle w:val="Znakapoznpodarou"/>
        </w:rPr>
        <w:footnoteReference w:id="5"/>
      </w:r>
      <w:r w:rsidR="00D726D4">
        <w:t xml:space="preserve"> </w:t>
      </w:r>
      <w:r w:rsidR="00D726D4" w:rsidRPr="00D726D4">
        <w:rPr>
          <w:i/>
        </w:rPr>
        <w:t xml:space="preserve">„V případě </w:t>
      </w:r>
      <w:r w:rsidR="00D726D4" w:rsidRPr="00D726D4">
        <w:rPr>
          <w:b/>
          <w:i/>
        </w:rPr>
        <w:t>hráčské vášně</w:t>
      </w:r>
      <w:r w:rsidR="00D726D4" w:rsidRPr="00D726D4">
        <w:rPr>
          <w:i/>
        </w:rPr>
        <w:t xml:space="preserve"> dochází k podceňování či dokonce absolutnímu ignorování signálů, které naznačují začínající (případně narůstající) výskyt problémů.“</w:t>
      </w:r>
      <w:r w:rsidR="00D726D4">
        <w:rPr>
          <w:rStyle w:val="Znakapoznpodarou"/>
          <w:i/>
        </w:rPr>
        <w:footnoteReference w:id="6"/>
      </w:r>
    </w:p>
    <w:p w:rsidR="005D5FA6" w:rsidRDefault="006E5C82" w:rsidP="00F91F1D">
      <w:pPr>
        <w:pStyle w:val="MUJTEXT"/>
      </w:pPr>
      <w:r>
        <w:t>Druhý auto</w:t>
      </w:r>
      <w:r w:rsidR="00FA7EDF">
        <w:t xml:space="preserve">r </w:t>
      </w:r>
      <w:r w:rsidR="00FC26A7">
        <w:t xml:space="preserve">definuje </w:t>
      </w:r>
      <w:r w:rsidR="00FC26A7" w:rsidRPr="00FC26A7">
        <w:rPr>
          <w:b/>
        </w:rPr>
        <w:t>p</w:t>
      </w:r>
      <w:r w:rsidR="00FA7EDF" w:rsidRPr="00FC26A7">
        <w:rPr>
          <w:b/>
        </w:rPr>
        <w:t>atologické hráčství</w:t>
      </w:r>
      <w:r w:rsidR="00FA7EDF">
        <w:t xml:space="preserve"> v souvislosti s Mezinárodní klasifikací nemocí</w:t>
      </w:r>
      <w:r w:rsidR="00FC26A7">
        <w:t>, tedy jako stav, kdy se během jednoho roku vyskytnou dvě nebo více epizod hráčství; tyto epizody nejsou pro jedince výnosné, ale opakují se, přestože narušují každodenní život; jedinec popisuje silné puzení ke hře a není schopen silou vůle hře odolat a je zaujat představami hraní.</w:t>
      </w:r>
      <w:r w:rsidR="00FC26A7">
        <w:rPr>
          <w:rStyle w:val="Znakapoznpodarou"/>
        </w:rPr>
        <w:footnoteReference w:id="7"/>
      </w:r>
      <w:r w:rsidR="00284E01">
        <w:t xml:space="preserve"> Dále druhý autor vysvětluje pojem </w:t>
      </w:r>
      <w:r w:rsidR="00284E01" w:rsidRPr="00284E01">
        <w:rPr>
          <w:b/>
        </w:rPr>
        <w:t>bažení</w:t>
      </w:r>
      <w:r w:rsidR="00284E01">
        <w:t xml:space="preserve">: </w:t>
      </w:r>
      <w:r w:rsidR="00284E01" w:rsidRPr="00284E01">
        <w:rPr>
          <w:i/>
        </w:rPr>
        <w:t>„Bažení je silná a těžko zvladatelná touha po hazardu nebo návykové látce.“</w:t>
      </w:r>
      <w:r w:rsidR="00284E01">
        <w:rPr>
          <w:rStyle w:val="Znakapoznpodarou"/>
          <w:i/>
        </w:rPr>
        <w:footnoteReference w:id="8"/>
      </w:r>
      <w:r w:rsidR="00BF3B0D">
        <w:t xml:space="preserve"> Dále se druhý autor vysvětluje pojmy </w:t>
      </w:r>
      <w:r w:rsidR="00BF3B0D" w:rsidRPr="00BF3B0D">
        <w:rPr>
          <w:b/>
        </w:rPr>
        <w:t>rizikový</w:t>
      </w:r>
      <w:r w:rsidR="00BF3B0D">
        <w:t xml:space="preserve"> </w:t>
      </w:r>
      <w:r w:rsidR="00BF3B0D" w:rsidRPr="00BF3B0D">
        <w:rPr>
          <w:b/>
        </w:rPr>
        <w:t>hazard</w:t>
      </w:r>
      <w:r w:rsidR="00BF3B0D">
        <w:rPr>
          <w:b/>
        </w:rPr>
        <w:t xml:space="preserve"> </w:t>
      </w:r>
      <w:r w:rsidR="00BF3B0D">
        <w:t xml:space="preserve">(tedy stav, kdy hazard ještě nezpůsobil vážnější psychologické nebo sociální problémy) a </w:t>
      </w:r>
      <w:r w:rsidR="00BF3B0D" w:rsidRPr="00BF3B0D">
        <w:rPr>
          <w:b/>
        </w:rPr>
        <w:t>problémový hazard</w:t>
      </w:r>
      <w:r w:rsidR="00BF3B0D">
        <w:t>, který již problémy v souvislosti s finančními nebo časovými ztrátami působí a pro hráče a jeho okolí přináší negativní důsledky.</w:t>
      </w:r>
      <w:r w:rsidR="00BF3B0D">
        <w:rPr>
          <w:rStyle w:val="Znakapoznpodarou"/>
        </w:rPr>
        <w:footnoteReference w:id="9"/>
      </w:r>
      <w:r w:rsidR="00BF3B0D">
        <w:t xml:space="preserve">  </w:t>
      </w:r>
      <w:r w:rsidR="006B605F">
        <w:t xml:space="preserve">Druhý autor také vyjmenovává některé </w:t>
      </w:r>
      <w:r w:rsidR="006B605F" w:rsidRPr="006B605F">
        <w:rPr>
          <w:b/>
        </w:rPr>
        <w:t>druhy hazardní hry</w:t>
      </w:r>
      <w:r w:rsidR="006B605F">
        <w:t>, jako jsou hazardní automaty, sázky na sportovní výsledky, ruleta a hazard na internetu.</w:t>
      </w:r>
      <w:r w:rsidR="006B605F">
        <w:rPr>
          <w:rStyle w:val="Znakapoznpodarou"/>
        </w:rPr>
        <w:footnoteReference w:id="10"/>
      </w:r>
    </w:p>
    <w:p w:rsidR="00643189" w:rsidRDefault="004303A2" w:rsidP="004303A2">
      <w:pPr>
        <w:pStyle w:val="MUJTEXT"/>
      </w:pPr>
      <w:r>
        <w:lastRenderedPageBreak/>
        <w:t xml:space="preserve">Oba autoři se zabývají pojmem patologického hráčství. Zatímco první autor tento pojem definuje jako „posedle – nutkavou“ závislost, citovou poruchu a poruchu kontroly impulzů, druhý autor se při definici opírá o Mezinárodní klasifikaci nemocí. Naopak klíčová slova problému patologické hráčství, se u obou autorů liší. První autor jmenuje a definuje pojmy: patologický hráč, vzrušení ze hry, </w:t>
      </w:r>
      <w:r w:rsidR="00643189">
        <w:t xml:space="preserve">hráčská vášeň, </w:t>
      </w:r>
      <w:r>
        <w:t>hazard a hazardní hra</w:t>
      </w:r>
      <w:r w:rsidR="00643189">
        <w:t>. Druhý autor se mimo patologického hráčství zaměřuje na pojmy bažení, rizikový a problémový hazard a jmenuje druhy hazardních her.</w:t>
      </w:r>
    </w:p>
    <w:p w:rsidR="004303A2" w:rsidRPr="00F91F1D" w:rsidRDefault="00643189" w:rsidP="004303A2">
      <w:pPr>
        <w:pStyle w:val="MUJTEXT"/>
      </w:pPr>
      <w:r>
        <w:t xml:space="preserve"> </w:t>
      </w:r>
      <w:r w:rsidR="004303A2">
        <w:t xml:space="preserve"> </w:t>
      </w:r>
    </w:p>
    <w:p w:rsidR="00EC7BE9" w:rsidRDefault="00EC7BE9" w:rsidP="00EC7BE9">
      <w:pPr>
        <w:pStyle w:val="MUJPODNADPIS"/>
        <w:numPr>
          <w:ilvl w:val="0"/>
          <w:numId w:val="50"/>
        </w:numPr>
      </w:pPr>
      <w:r>
        <w:t xml:space="preserve">Jak autoři charakterizují závislost a její stupně? </w:t>
      </w:r>
    </w:p>
    <w:p w:rsidR="00D36740" w:rsidRDefault="00D36740" w:rsidP="00D36740">
      <w:pPr>
        <w:pStyle w:val="MUJTEXT"/>
      </w:pPr>
      <w:r>
        <w:t>První autor s</w:t>
      </w:r>
      <w:r w:rsidR="00643189">
        <w:t xml:space="preserve">e přiklání k dalším odborníkům </w:t>
      </w:r>
      <w:r>
        <w:t xml:space="preserve">a </w:t>
      </w:r>
      <w:r w:rsidR="00D6100D">
        <w:t xml:space="preserve">v rámci aspektů závislosti -  patologického hráčství, uvádí skutečnosti, kdy hráč je stále více zaměstnaný hrou, neustále zvyšuje velikost sázky, hraní patologickému hráči narušuje sociální </w:t>
      </w:r>
      <w:r w:rsidR="00CB60F9">
        <w:t xml:space="preserve">vztahy </w:t>
      </w:r>
      <w:r w:rsidR="00D6100D">
        <w:t>a dochází u něj ke ztrátě kontroly nad hrou. Dochází i ke stavům nespokojenosti a podrážděnosti při přerušení nebo ukončení hraní.</w:t>
      </w:r>
      <w:r w:rsidR="00D6100D">
        <w:rPr>
          <w:rStyle w:val="Znakapoznpodarou"/>
        </w:rPr>
        <w:footnoteReference w:id="11"/>
      </w:r>
      <w:r w:rsidR="00D6100D">
        <w:t xml:space="preserve"> </w:t>
      </w:r>
      <w:r w:rsidR="00724460">
        <w:t xml:space="preserve">První autor ve své publikaci požívá pro stupně hráčských závislostí pětibodovou stupnici, kdy úroveň </w:t>
      </w:r>
      <w:r w:rsidR="00253F78">
        <w:t>„</w:t>
      </w:r>
      <w:r w:rsidR="00724460">
        <w:t>0</w:t>
      </w:r>
      <w:r w:rsidR="00253F78">
        <w:t>“</w:t>
      </w:r>
      <w:r w:rsidR="00724460">
        <w:t xml:space="preserve"> znamená, že hra není vůbec provozována. Úroveň </w:t>
      </w:r>
      <w:r w:rsidR="00253F78">
        <w:t>„</w:t>
      </w:r>
      <w:r w:rsidR="00724460">
        <w:t>1</w:t>
      </w:r>
      <w:r w:rsidR="00253F78">
        <w:t>“</w:t>
      </w:r>
      <w:r w:rsidR="00724460">
        <w:t xml:space="preserve"> znamená rekreační hraní, které nemá žádný negativní dopad na reálný život.  Úroveň </w:t>
      </w:r>
      <w:r w:rsidR="00253F78">
        <w:t>„</w:t>
      </w:r>
      <w:r w:rsidR="00724460">
        <w:t>2</w:t>
      </w:r>
      <w:r w:rsidR="00253F78">
        <w:t>“</w:t>
      </w:r>
      <w:r w:rsidR="00724460">
        <w:t xml:space="preserve"> označuje hraní, které již přináší občasný výskyt drobných problémů. Úroveň </w:t>
      </w:r>
      <w:r w:rsidR="00253F78">
        <w:t>„</w:t>
      </w:r>
      <w:r w:rsidR="00724460">
        <w:t>3</w:t>
      </w:r>
      <w:r w:rsidR="00253F78">
        <w:t>“</w:t>
      </w:r>
      <w:r w:rsidR="00724460">
        <w:t xml:space="preserve"> značí hraní vedoucí ke vzniku velkých probl</w:t>
      </w:r>
      <w:r w:rsidR="00253F78">
        <w:t>émů a nepříznivých souvislostí, a poslední, úroveň „4“, označuje hraní motivované potřebou hledat řešení již existujících problémů spojených s patologickým hraním.</w:t>
      </w:r>
      <w:r w:rsidR="00253F78">
        <w:rPr>
          <w:rStyle w:val="Znakapoznpodarou"/>
        </w:rPr>
        <w:footnoteReference w:id="12"/>
      </w:r>
      <w:r w:rsidR="00253F78">
        <w:t xml:space="preserve"> </w:t>
      </w:r>
      <w:r w:rsidR="004E4F6C">
        <w:t>Zmiňuje také zkušenosti MUDr. Nešpora a 4 fáze závislosti – stádium vyhrávání, stádium prohrávání, stadium zoufalství a stádium rezignační.</w:t>
      </w:r>
      <w:r w:rsidR="004E4F6C">
        <w:rPr>
          <w:rStyle w:val="Znakapoznpodarou"/>
        </w:rPr>
        <w:footnoteReference w:id="13"/>
      </w:r>
    </w:p>
    <w:p w:rsidR="00CB60F9" w:rsidRDefault="00F91F1D" w:rsidP="00CB60F9">
      <w:pPr>
        <w:pStyle w:val="MUJTEXT"/>
      </w:pPr>
      <w:r>
        <w:t>Druhý autor charakterizuje závislost podle Diagnostického a statistického manuálu Americké psychiatrické asociace, čili jako stav</w:t>
      </w:r>
      <w:r w:rsidR="00881CE3">
        <w:t>, kdy se</w:t>
      </w:r>
      <w:r>
        <w:t xml:space="preserve"> </w:t>
      </w:r>
      <w:r w:rsidR="00881CE3">
        <w:t xml:space="preserve">hráč hazardní hrou zcela zaměstnává a aby docílil žádoucího vzrušení, musí zvyšovat množství peněz vkládaných do hry. Dále se </w:t>
      </w:r>
      <w:r w:rsidR="006F7930">
        <w:t xml:space="preserve">hráč </w:t>
      </w:r>
      <w:r w:rsidR="00881CE3">
        <w:t>opakovaně pokoušel s hazardní hrou přestat a v případě, že ji omezil, cítil hráč neklid a podrážděnost. Hazardní hru používá závislý hráč jako prostředek, jak uniknout problémům.</w:t>
      </w:r>
      <w:r w:rsidR="006F7930">
        <w:t xml:space="preserve"> Lže příbuzným i dalším lidem, aby rozsah problému skryl, případně ohrozil nebo ztratil důležité vztahy, zaměstnání, případně se dopustil kvůli hazardní hře ilegálních činů.</w:t>
      </w:r>
      <w:r w:rsidR="00881CE3">
        <w:rPr>
          <w:rStyle w:val="Znakapoznpodarou"/>
        </w:rPr>
        <w:footnoteReference w:id="14"/>
      </w:r>
    </w:p>
    <w:p w:rsidR="00CB60F9" w:rsidRDefault="00CB60F9" w:rsidP="00D36740">
      <w:pPr>
        <w:pStyle w:val="MUJTEXT"/>
      </w:pPr>
      <w:r>
        <w:t>Oba autoři se shodnou, že pro závislost je charakteristické, když je hráč zcela (či stále více) zaměstnaný hrou. Dále se shodnou, že je typické zvyšování velikosti sázky a pociťování neklidu a podrážděnosti při omezení či přerušení hry. Na rozdíl od prvního autora, který uvádí i pětibodovou stupnici závislosti a čtyřfázovou stupnici závislosti, druhý autor žádnou stupnici či fáze závislosti neuvádí.</w:t>
      </w:r>
    </w:p>
    <w:p w:rsidR="006F7930" w:rsidRDefault="006F7930" w:rsidP="00D36740">
      <w:pPr>
        <w:pStyle w:val="MUJTEXT"/>
      </w:pPr>
    </w:p>
    <w:p w:rsidR="00EC7BE9" w:rsidRDefault="00EC7BE9" w:rsidP="00EC7BE9">
      <w:pPr>
        <w:pStyle w:val="MUJPODNADPIS"/>
        <w:numPr>
          <w:ilvl w:val="0"/>
          <w:numId w:val="50"/>
        </w:numPr>
      </w:pPr>
      <w:r>
        <w:t>Jak autoři charakterizují důvody vzniku závislosti?</w:t>
      </w:r>
    </w:p>
    <w:p w:rsidR="00DD420D" w:rsidRPr="00783002" w:rsidRDefault="00DD420D" w:rsidP="00DD420D">
      <w:pPr>
        <w:pStyle w:val="MUJTEXT"/>
      </w:pPr>
      <w:r>
        <w:t xml:space="preserve">První autor spatřuje jako jeden z důvodů </w:t>
      </w:r>
      <w:r w:rsidR="002A376D">
        <w:t>vzniku závislosti vznik herního průmyslu</w:t>
      </w:r>
      <w:r w:rsidR="00982D53">
        <w:t xml:space="preserve"> a internetu</w:t>
      </w:r>
      <w:r w:rsidR="002A376D">
        <w:t xml:space="preserve">. Říká: </w:t>
      </w:r>
      <w:r w:rsidR="002A376D" w:rsidRPr="002A376D">
        <w:rPr>
          <w:i/>
        </w:rPr>
        <w:t xml:space="preserve">„Možnosti vyzkoušet hráčskou štěstěnu se v současnosti objevují téměř na každém kroku. Navštěvovat herny lze dokonce v každou denní dobu. Stále jsou vytvářeny nové druhy her, které jsou koncipovány tak, aby byly přitažlivé pro jednotlivé specifické „ klientské segmenty.“ Tato cílená specifikace způsobuje, že jsou v současné době již například záměrně </w:t>
      </w:r>
      <w:r w:rsidR="002A376D" w:rsidRPr="002A376D">
        <w:rPr>
          <w:i/>
        </w:rPr>
        <w:lastRenderedPageBreak/>
        <w:t>oslovovány všechny věkové kategorie.“</w:t>
      </w:r>
      <w:r w:rsidR="002A376D">
        <w:rPr>
          <w:rStyle w:val="Znakapoznpodarou"/>
          <w:i/>
        </w:rPr>
        <w:footnoteReference w:id="15"/>
      </w:r>
      <w:r w:rsidR="004443B6">
        <w:rPr>
          <w:i/>
        </w:rPr>
        <w:t xml:space="preserve"> </w:t>
      </w:r>
      <w:r w:rsidR="00982D53" w:rsidRPr="00982D53">
        <w:t>Další dimenzi novod</w:t>
      </w:r>
      <w:r w:rsidR="00982D53">
        <w:t>obého hráčského fenoménu umožnil dle prvního autora internet, který dokonce odstraňuje i nutnost navštívit prostor, kde je sázka uzavírána a tím výrazně ulehčuje přístupnost sázení. Zároveň nabízí anonymitu a tím stěžuje možnost odhalení závislosti a samo zapnutí počítače svádí k recidivě.</w:t>
      </w:r>
      <w:r w:rsidR="00982D53">
        <w:rPr>
          <w:rStyle w:val="Znakapoznpodarou"/>
        </w:rPr>
        <w:footnoteReference w:id="16"/>
      </w:r>
      <w:r w:rsidR="00982D53" w:rsidRPr="00982D53">
        <w:t xml:space="preserve"> </w:t>
      </w:r>
      <w:r w:rsidR="004443B6">
        <w:t xml:space="preserve">Dalším důvodem je dle prvního autora i aspekt možnosti získat víc než bylo vloženo. </w:t>
      </w:r>
      <w:r w:rsidR="004443B6" w:rsidRPr="004443B6">
        <w:rPr>
          <w:i/>
        </w:rPr>
        <w:t>„Aspekt možnosti získat víc, než jsem vložil, přitahuje řadu lidí. Velikost a rychlost možného zisku přináší napětí.“</w:t>
      </w:r>
      <w:r w:rsidR="004443B6">
        <w:rPr>
          <w:rStyle w:val="Znakapoznpodarou"/>
        </w:rPr>
        <w:footnoteReference w:id="17"/>
      </w:r>
      <w:r w:rsidR="00783002">
        <w:rPr>
          <w:i/>
        </w:rPr>
        <w:t xml:space="preserve"> </w:t>
      </w:r>
      <w:r w:rsidR="00783002">
        <w:t xml:space="preserve">U střední a starší generace spatřuje první autor slabinu a velkou zranitelnost v jejich nezkušenosti a částečně i ve zvýšené naivitě. </w:t>
      </w:r>
      <w:r w:rsidR="00783002" w:rsidRPr="00783002">
        <w:rPr>
          <w:i/>
        </w:rPr>
        <w:t>„Oni sami mnohdy podceňují možnost vlastního ohrožení v případě, že se nedostatečně vyzbrojení v pozdějším věku do hráčských aktivit sami zapojí</w:t>
      </w:r>
      <w:r w:rsidR="00783002">
        <w:t>.</w:t>
      </w:r>
      <w:r w:rsidR="00783002" w:rsidRPr="00783002">
        <w:rPr>
          <w:i/>
        </w:rPr>
        <w:t>“</w:t>
      </w:r>
      <w:r w:rsidR="00783002">
        <w:rPr>
          <w:rStyle w:val="Znakapoznpodarou"/>
        </w:rPr>
        <w:footnoteReference w:id="18"/>
      </w:r>
      <w:r w:rsidR="00783002">
        <w:rPr>
          <w:i/>
        </w:rPr>
        <w:t xml:space="preserve"> </w:t>
      </w:r>
    </w:p>
    <w:p w:rsidR="006E5C82" w:rsidRPr="00B55A4F" w:rsidRDefault="00785FA3" w:rsidP="00B4051F">
      <w:pPr>
        <w:pStyle w:val="MUJTEXT"/>
      </w:pPr>
      <w:r>
        <w:t xml:space="preserve">Druhý autor </w:t>
      </w:r>
      <w:r w:rsidR="00687972">
        <w:t>dává do souvislosti se závislostí vidin</w:t>
      </w:r>
      <w:r w:rsidR="00FA7154">
        <w:t>u výhry:</w:t>
      </w:r>
      <w:r>
        <w:t xml:space="preserve"> </w:t>
      </w:r>
      <w:r w:rsidR="00FA7154" w:rsidRPr="006E5C82">
        <w:rPr>
          <w:i/>
        </w:rPr>
        <w:t>„Pro hazard je typické, že si hráč kupuje možnost nebo iluzi výhry.</w:t>
      </w:r>
      <w:r w:rsidR="00FA7154">
        <w:rPr>
          <w:i/>
        </w:rPr>
        <w:t xml:space="preserve"> Vidina výhry vyvolává pocit vzrušení.</w:t>
      </w:r>
      <w:r w:rsidR="00FA7154" w:rsidRPr="006E5C82">
        <w:rPr>
          <w:i/>
        </w:rPr>
        <w:t>“</w:t>
      </w:r>
      <w:r w:rsidR="00FA7154">
        <w:rPr>
          <w:rStyle w:val="Znakapoznpodarou"/>
          <w:i/>
        </w:rPr>
        <w:footnoteReference w:id="19"/>
      </w:r>
      <w:r w:rsidR="00FA7154">
        <w:rPr>
          <w:i/>
        </w:rPr>
        <w:t xml:space="preserve"> „Peníze fungují jako tzv. spouštěč, tedy podnět vyvolávající bažení anebo zhoršující sebeovládání ve vztahu k hazardu.“</w:t>
      </w:r>
      <w:r w:rsidR="00FA7154">
        <w:rPr>
          <w:rStyle w:val="Znakapoznpodarou"/>
          <w:i/>
        </w:rPr>
        <w:footnoteReference w:id="20"/>
      </w:r>
      <w:r w:rsidR="00687972">
        <w:rPr>
          <w:i/>
        </w:rPr>
        <w:t xml:space="preserve"> </w:t>
      </w:r>
      <w:r w:rsidR="00687972">
        <w:t xml:space="preserve">V rámci patologického hráčství u dětí a dospívajících, dále druhý autor uvádí následující: </w:t>
      </w:r>
      <w:r w:rsidR="00687972" w:rsidRPr="00687972">
        <w:rPr>
          <w:i/>
        </w:rPr>
        <w:t>„Důležitá jsou očekávání spojená s hazardem a jeho propagace nebo dostupnost hazardu pro dospívající.</w:t>
      </w:r>
      <w:r w:rsidR="00985F18">
        <w:rPr>
          <w:i/>
        </w:rPr>
        <w:t xml:space="preserve"> Z rodinných rizikových činitelů lze předpokládat negativní vliv malého rodičovského dohledu a nedostatku vřelosti a péče. Vysoce rizikový je pro dospívající výskyt patologického nebo problémového hráčství nebo jiné návykové nemoci u někoho z rodičů.</w:t>
      </w:r>
      <w:r w:rsidR="00687972" w:rsidRPr="00687972">
        <w:rPr>
          <w:i/>
        </w:rPr>
        <w:t>“</w:t>
      </w:r>
      <w:r w:rsidR="00985F18">
        <w:rPr>
          <w:rStyle w:val="Znakapoznpodarou"/>
          <w:i/>
        </w:rPr>
        <w:footnoteReference w:id="21"/>
      </w:r>
      <w:r w:rsidR="00B55A4F">
        <w:rPr>
          <w:i/>
        </w:rPr>
        <w:t xml:space="preserve"> </w:t>
      </w:r>
      <w:r w:rsidR="00B55A4F">
        <w:t xml:space="preserve">Dále druhý autor říká: </w:t>
      </w:r>
      <w:r w:rsidR="00B55A4F" w:rsidRPr="00B55A4F">
        <w:rPr>
          <w:i/>
        </w:rPr>
        <w:t>„Problémy působené hazardem nemají jednu příčinu. Zdraví nebo nemoc vznikají v důsledku interakce rizikových a ochranných činitelů, které se nacházejí na více rovinách. Některé z těchto faktorů jsou významnější, jiné méně. K nejzávažnějším rizikovým činitelům patří jistě dostupnost hazardu a jeho aktivní nabízení.“</w:t>
      </w:r>
      <w:r w:rsidR="00B55A4F">
        <w:rPr>
          <w:rStyle w:val="Znakapoznpodarou"/>
          <w:i/>
        </w:rPr>
        <w:footnoteReference w:id="22"/>
      </w:r>
      <w:r w:rsidR="00B55A4F">
        <w:t xml:space="preserve"> </w:t>
      </w:r>
      <w:r w:rsidR="004F7D9B">
        <w:t>Dle druhého autora lze mezi rizikové činitele zahrnout zejména snadnou dostupnost, velkou nabídku různých forem hazardu, masivní reklamu,</w:t>
      </w:r>
      <w:r w:rsidR="001F674E">
        <w:t xml:space="preserve"> nedostatečná zákonná opatření.</w:t>
      </w:r>
      <w:r w:rsidR="001F674E">
        <w:rPr>
          <w:rStyle w:val="Znakapoznpodarou"/>
        </w:rPr>
        <w:footnoteReference w:id="23"/>
      </w:r>
    </w:p>
    <w:p w:rsidR="009B3034" w:rsidRDefault="009B3034" w:rsidP="009B3034">
      <w:pPr>
        <w:pStyle w:val="MUJTEXT"/>
      </w:pPr>
      <w:r>
        <w:t xml:space="preserve">Oba autoři se shodnou, že jedním z důvodů je možnost a vidina výhry a s tím spojené vzrušení. </w:t>
      </w:r>
      <w:r w:rsidR="00C83C71">
        <w:t>Oba</w:t>
      </w:r>
      <w:r>
        <w:t xml:space="preserve"> autoři</w:t>
      </w:r>
      <w:r w:rsidR="00C83C71">
        <w:t xml:space="preserve"> se dále</w:t>
      </w:r>
      <w:r>
        <w:t xml:space="preserve"> v rámci důvodů vzniku závislosti shodnou i na snadné dostupnosti hazardu, ačkoli první autor toto uvádí do souvislosti v první řadě. První autor tedy předně za důvody vzniku závislosti spatřuje velmi snadno dostupné herny a vznik herního průmyslu jako takového, dále ulehčený a pohodlnější přístup k sázení díky internetu.</w:t>
      </w:r>
      <w:r w:rsidR="00C83C71">
        <w:t xml:space="preserve"> První autor také zmiňuje zranitelnost střední a starší generace. Naopak druhý autor zmiňuje rizikové činitele (jako například negativní vliv rodičovského dohledu) pro děti a dospívající. </w:t>
      </w:r>
    </w:p>
    <w:p w:rsidR="009B3034" w:rsidRPr="000B0CC6" w:rsidRDefault="009B3034" w:rsidP="00C83C71">
      <w:pPr>
        <w:pStyle w:val="MUJTEXT"/>
        <w:ind w:firstLine="0"/>
      </w:pPr>
    </w:p>
    <w:p w:rsidR="00EC7BE9" w:rsidRDefault="00623685" w:rsidP="00EC7BE9">
      <w:pPr>
        <w:pStyle w:val="MUJPODNADPIS"/>
        <w:numPr>
          <w:ilvl w:val="0"/>
          <w:numId w:val="50"/>
        </w:numPr>
      </w:pPr>
      <w:r>
        <w:t>Jaké vidí autoři dopady a důsledky patologického hraní</w:t>
      </w:r>
      <w:r w:rsidR="00EC7BE9">
        <w:t>?</w:t>
      </w:r>
    </w:p>
    <w:p w:rsidR="00A2738B" w:rsidRPr="00A2738B" w:rsidRDefault="00623685" w:rsidP="00A2738B">
      <w:pPr>
        <w:pStyle w:val="MUJTEXT"/>
        <w:rPr>
          <w:i/>
        </w:rPr>
      </w:pPr>
      <w:r>
        <w:t xml:space="preserve">Dle prvního autora patologické hráčství poznamenává život i rodiny a sociální okolí závislého hráče. </w:t>
      </w:r>
      <w:r w:rsidRPr="00623685">
        <w:rPr>
          <w:i/>
        </w:rPr>
        <w:t xml:space="preserve">„V naprosté většině případů v souvislosti s patologickým hráčstvím trpí nejen osoby nejbližší (např. manželka, děti, rodiče), ale často jsou do problému sekundárně vtaženi i další lidé patří do emočně vztahového rámce hráčsky </w:t>
      </w:r>
      <w:r w:rsidRPr="00623685">
        <w:rPr>
          <w:i/>
        </w:rPr>
        <w:lastRenderedPageBreak/>
        <w:t>závislého jedince.“</w:t>
      </w:r>
      <w:r w:rsidRPr="00623685">
        <w:rPr>
          <w:rStyle w:val="Znakapoznpodarou"/>
          <w:i/>
        </w:rPr>
        <w:footnoteReference w:id="24"/>
      </w:r>
      <w:r w:rsidR="0043652A">
        <w:rPr>
          <w:i/>
        </w:rPr>
        <w:t xml:space="preserve"> „Problémy vyplývající ze závislosti na hraní vedou k nutnosti zakrývat jejich existenci a ke zvýšené potřebě lhát. To se samozřejmě odrazí i v kvalitě partnerského života.“</w:t>
      </w:r>
      <w:r w:rsidR="0043652A">
        <w:rPr>
          <w:rStyle w:val="Znakapoznpodarou"/>
          <w:i/>
        </w:rPr>
        <w:footnoteReference w:id="25"/>
      </w:r>
      <w:r w:rsidR="00255E2B">
        <w:rPr>
          <w:i/>
        </w:rPr>
        <w:t xml:space="preserve"> </w:t>
      </w:r>
      <w:r w:rsidR="00255E2B" w:rsidRPr="00255E2B">
        <w:t>Mimo</w:t>
      </w:r>
      <w:r w:rsidR="00255E2B">
        <w:t xml:space="preserve"> rodinných dysfunkcí s sebou patologické hráčství podle prvního autora přináší i další sekundární problémy a sociálně patologické jevy, jako je domácí násilí, alkoholové problémy a jiné drogové závislosti, psychické poruchy a </w:t>
      </w:r>
      <w:proofErr w:type="spellStart"/>
      <w:r w:rsidR="00255E2B">
        <w:t>psychozy</w:t>
      </w:r>
      <w:proofErr w:type="spellEnd"/>
      <w:r w:rsidR="00255E2B">
        <w:t>, hráčství nezletilých osob, myšlenky a pokusy o sebevraždu, sebevraždy dokonané, výrazné finanční problémy a kriminální chování.</w:t>
      </w:r>
      <w:r w:rsidR="00255E2B">
        <w:rPr>
          <w:rStyle w:val="Znakapoznpodarou"/>
        </w:rPr>
        <w:footnoteReference w:id="26"/>
      </w:r>
      <w:r w:rsidR="004E4F6C">
        <w:t xml:space="preserve"> </w:t>
      </w:r>
      <w:r w:rsidR="00A00C61" w:rsidRPr="004E4F6C">
        <w:rPr>
          <w:i/>
        </w:rPr>
        <w:t>„Finanční deficit patologického hráče vytváří velmi silnou motivaci, vedoucí k potřebě obstarat si potřebný finanční obnos na hru (případně splacení dluhů) jakýmkoliv způsobem.“</w:t>
      </w:r>
      <w:r w:rsidR="00A00C61">
        <w:rPr>
          <w:i/>
        </w:rPr>
        <w:t xml:space="preserve"> </w:t>
      </w:r>
      <w:r w:rsidR="00A00C61">
        <w:rPr>
          <w:rStyle w:val="Znakapoznpodarou"/>
          <w:i/>
        </w:rPr>
        <w:footnoteReference w:id="27"/>
      </w:r>
      <w:r w:rsidR="00A2738B">
        <w:rPr>
          <w:i/>
        </w:rPr>
        <w:t xml:space="preserve"> </w:t>
      </w:r>
      <w:r w:rsidR="00A9362F">
        <w:t>První</w:t>
      </w:r>
      <w:r w:rsidR="00A2738B" w:rsidRPr="00A2738B">
        <w:t xml:space="preserve"> autor také poukazuje na </w:t>
      </w:r>
      <w:r w:rsidR="00A2738B">
        <w:t>n</w:t>
      </w:r>
      <w:r w:rsidR="00A2738B" w:rsidRPr="00A2738B">
        <w:t xml:space="preserve">egativní </w:t>
      </w:r>
      <w:r w:rsidR="00A2738B">
        <w:t>zdravotní důsledky</w:t>
      </w:r>
      <w:r w:rsidR="00A9362F">
        <w:t xml:space="preserve">, způsobené </w:t>
      </w:r>
      <w:r w:rsidR="005477BC">
        <w:t xml:space="preserve">například </w:t>
      </w:r>
      <w:r w:rsidR="00A9362F">
        <w:t>dlouhým sezením při hře, v zakouřeném prostoru, nesprávnými stravovacími návyky,</w:t>
      </w:r>
      <w:r w:rsidR="005477BC">
        <w:t xml:space="preserve"> stresem, </w:t>
      </w:r>
      <w:r w:rsidR="00A9362F">
        <w:t>zvýšený</w:t>
      </w:r>
      <w:r w:rsidR="005477BC">
        <w:t>m</w:t>
      </w:r>
      <w:r w:rsidR="00A9362F">
        <w:t xml:space="preserve"> tep</w:t>
      </w:r>
      <w:r w:rsidR="005477BC">
        <w:t>em</w:t>
      </w:r>
      <w:r w:rsidR="00A9362F">
        <w:t xml:space="preserve"> i krevní</w:t>
      </w:r>
      <w:r w:rsidR="005477BC">
        <w:t>m</w:t>
      </w:r>
      <w:r w:rsidR="00A9362F">
        <w:t xml:space="preserve"> tlak</w:t>
      </w:r>
      <w:r w:rsidR="005477BC">
        <w:t>em</w:t>
      </w:r>
      <w:r w:rsidR="00A9362F">
        <w:t>.</w:t>
      </w:r>
      <w:r w:rsidR="00A9362F">
        <w:rPr>
          <w:rStyle w:val="Znakapoznpodarou"/>
        </w:rPr>
        <w:footnoteReference w:id="28"/>
      </w:r>
    </w:p>
    <w:p w:rsidR="001A517F" w:rsidRDefault="00FA7154" w:rsidP="001A517F">
      <w:pPr>
        <w:pStyle w:val="MUJTEXT"/>
      </w:pPr>
      <w:r>
        <w:t xml:space="preserve">Druhý autor v rámci finančních důsledků říká: </w:t>
      </w:r>
      <w:r>
        <w:rPr>
          <w:i/>
        </w:rPr>
        <w:t>„Finanční problémy, dluhy a tlak ze strany věřitelů spoluvytvářejí bludný kruh hazardu a rostoucích problémů, před kterými hráč uniká k dalšímu hazardu. Problémy tak dále narůstají.“</w:t>
      </w:r>
      <w:r>
        <w:rPr>
          <w:rStyle w:val="Znakapoznpodarou"/>
          <w:i/>
        </w:rPr>
        <w:footnoteReference w:id="29"/>
      </w:r>
      <w:r w:rsidR="006F2914">
        <w:rPr>
          <w:i/>
        </w:rPr>
        <w:t xml:space="preserve"> </w:t>
      </w:r>
      <w:r w:rsidR="006F2914">
        <w:t xml:space="preserve">Dále vidí druhý autor rizika zdravotní, kdy se při hazardu zjistila vyšší tepová frekvence. Dále uvádí: </w:t>
      </w:r>
      <w:r w:rsidR="006F2914">
        <w:rPr>
          <w:i/>
        </w:rPr>
        <w:t>„Míra psychosociálního stresu bude mnohem vyšší u patologického hráče, který hraje např. za peníze zpronevěřené v práci nebo prostředky určené k zaplacení alimentů. Z toho důvodu jsou rizikem hazardu nemoci související se stresem, počínaje vysokým krevním tlakem a konče úrazy.</w:t>
      </w:r>
      <w:r w:rsidR="009F524A">
        <w:rPr>
          <w:i/>
        </w:rPr>
        <w:t xml:space="preserve"> Hrozbou jsou rovněž nemoci pohybového ústrojí. Existují i rizika pro kardiovaskulární systém, trávicí ústrojí atd.</w:t>
      </w:r>
      <w:r w:rsidR="006F2914">
        <w:rPr>
          <w:i/>
        </w:rPr>
        <w:t>“</w:t>
      </w:r>
      <w:r w:rsidR="006F2914">
        <w:rPr>
          <w:rStyle w:val="Znakapoznpodarou"/>
          <w:i/>
        </w:rPr>
        <w:footnoteReference w:id="30"/>
      </w:r>
      <w:r w:rsidR="009F524A">
        <w:t xml:space="preserve"> Druhý autor také zmiňuje rizika duševní, která mohou být ještě závažnější. Řadí mezi ně deprese, poruchy spánku, úzkosti, sebevražedné tendence, sociální vyloučení, osamělost, nezaměstnanost, chudobu, bezdomovectví a zmiňuje i vyšší riziko uvěznění. V rámci rizik pro rodinu patologického hráče, druhý autor uvádí, že hazard vede k dysfunkci v rodinách a zvyšuje riziko rozvodů. Dochází od odcizení, sociální izolace a hmotné nouze až po domácí násilí, zanedbávání a zneužívání dětí a násilí vůči nim. </w:t>
      </w:r>
      <w:r w:rsidR="009F524A">
        <w:rPr>
          <w:rStyle w:val="Znakapoznpodarou"/>
        </w:rPr>
        <w:footnoteReference w:id="31"/>
      </w:r>
    </w:p>
    <w:p w:rsidR="005D5FA6" w:rsidRDefault="00C83C71" w:rsidP="001A517F">
      <w:pPr>
        <w:pStyle w:val="MUJTEXT"/>
      </w:pPr>
      <w:r>
        <w:t>Oba autoři se v rámci charakteristiky dopadů a důsledků patologického</w:t>
      </w:r>
      <w:r w:rsidR="00686104">
        <w:t xml:space="preserve"> hráčství</w:t>
      </w:r>
      <w:r>
        <w:t xml:space="preserve"> shodnou. Oba autoři zmiňují rizika pro rodinu patologického hráče, jako je odcizení, dysfunkce rodiny a domácí násilí. </w:t>
      </w:r>
      <w:r w:rsidR="00630A0D">
        <w:t>Druhý autor zmiňuje i negativní vliv na děti a jejich zanedbávání a zneužívání. Oba autoři také jmenují sebevražedné tendence, rizika kriminálního chování, finanční problémy a zadluženost a negativní zdravotní důsledky. Druhý autor se navíc podrobněji věnuje rizikům duševním.</w:t>
      </w:r>
    </w:p>
    <w:p w:rsidR="00C83C71" w:rsidRPr="009F524A" w:rsidRDefault="00C83C71" w:rsidP="001A517F">
      <w:pPr>
        <w:pStyle w:val="MUJTEXT"/>
      </w:pPr>
    </w:p>
    <w:p w:rsidR="00EC7BE9" w:rsidRDefault="00EC7BE9" w:rsidP="00EC7BE9">
      <w:pPr>
        <w:pStyle w:val="MUJPODNADPIS"/>
        <w:numPr>
          <w:ilvl w:val="0"/>
          <w:numId w:val="50"/>
        </w:numPr>
      </w:pPr>
      <w:r>
        <w:t>Jak autoři popisují projevy problému?</w:t>
      </w:r>
    </w:p>
    <w:p w:rsidR="00925F96" w:rsidRDefault="00925F96" w:rsidP="00925F96">
      <w:pPr>
        <w:pStyle w:val="MUJTEXT"/>
      </w:pPr>
      <w:r>
        <w:t xml:space="preserve">První autor vnímá patologické hráčství jako velmi rozšířenou poruchu. Říká: </w:t>
      </w:r>
      <w:r w:rsidRPr="00925F96">
        <w:rPr>
          <w:i/>
        </w:rPr>
        <w:t>„Tato porucha je často spojována s výraznou celkovou osobnostní devastací. Ta je způsobena například poklesem sebevědomí, závislostí na různých chemických látkách, finančními potížemi, stresem ve vztazích a v neposlední řadě i vysokou sebevražedností.“</w:t>
      </w:r>
      <w:r>
        <w:rPr>
          <w:rStyle w:val="Znakapoznpodarou"/>
          <w:i/>
        </w:rPr>
        <w:footnoteReference w:id="32"/>
      </w:r>
      <w:r w:rsidR="00A00C61" w:rsidRPr="00A00C61">
        <w:rPr>
          <w:i/>
        </w:rPr>
        <w:t xml:space="preserve"> </w:t>
      </w:r>
      <w:r w:rsidR="00A00C61" w:rsidRPr="00A00C61">
        <w:t>K finančním potížím dále</w:t>
      </w:r>
      <w:r w:rsidR="00A00C61">
        <w:rPr>
          <w:i/>
        </w:rPr>
        <w:t xml:space="preserve"> </w:t>
      </w:r>
      <w:r w:rsidR="00A00C61">
        <w:t>první autor udává:</w:t>
      </w:r>
      <w:r w:rsidR="00A00C61">
        <w:rPr>
          <w:i/>
        </w:rPr>
        <w:t xml:space="preserve"> </w:t>
      </w:r>
      <w:r w:rsidR="00A00C61" w:rsidRPr="00A26093">
        <w:rPr>
          <w:i/>
        </w:rPr>
        <w:t>„</w:t>
      </w:r>
      <w:r w:rsidR="00A00C61">
        <w:rPr>
          <w:i/>
        </w:rPr>
        <w:t xml:space="preserve">Patologické hraní mnohdy vede k absencím a snížené pracovní </w:t>
      </w:r>
      <w:r w:rsidR="00A00C61">
        <w:rPr>
          <w:i/>
        </w:rPr>
        <w:lastRenderedPageBreak/>
        <w:t>výkonnosti. To pak následně vede ke ztrátě zaměstnání. Ztráta zaměstnání a pravidelné mzdy představuje pro gamblera vznik značných finančních problémů.“</w:t>
      </w:r>
      <w:r w:rsidR="00A00C61">
        <w:rPr>
          <w:rStyle w:val="Znakapoznpodarou"/>
          <w:i/>
        </w:rPr>
        <w:footnoteReference w:id="33"/>
      </w:r>
      <w:r w:rsidR="00A00C61">
        <w:rPr>
          <w:i/>
        </w:rPr>
        <w:t xml:space="preserve"> </w:t>
      </w:r>
      <w:r w:rsidR="004062D7">
        <w:t>Dle prvního autora jsou dále poměrně časté poruchy udržení pozornosti a poruchy impulzivity chování.</w:t>
      </w:r>
      <w:r w:rsidR="004062D7">
        <w:rPr>
          <w:rStyle w:val="Znakapoznpodarou"/>
        </w:rPr>
        <w:footnoteReference w:id="34"/>
      </w:r>
      <w:r w:rsidR="004062D7">
        <w:t xml:space="preserve"> </w:t>
      </w:r>
      <w:r w:rsidR="00DB239D">
        <w:t>Velkou podobnost patologického hráčství vidí první autor s drogovou závislostí a popisuje například situaci, kdy patologičtí hráči často zvyšují frekvenci svých sázek, aby udrželi požadovanou úroveň vzrušení, což připomíná chování při drogové závislosti.</w:t>
      </w:r>
      <w:r w:rsidR="00DB239D">
        <w:rPr>
          <w:rStyle w:val="Znakapoznpodarou"/>
        </w:rPr>
        <w:footnoteReference w:id="35"/>
      </w:r>
      <w:r w:rsidR="00DB239D">
        <w:t xml:space="preserve"> </w:t>
      </w:r>
    </w:p>
    <w:p w:rsidR="00DF4746" w:rsidRDefault="00FA7EDF" w:rsidP="00686104">
      <w:pPr>
        <w:pStyle w:val="MUJTEXT"/>
      </w:pPr>
      <w:r>
        <w:t>Druhý autor považuje za klíčový znak zhoršené sebeovládání.</w:t>
      </w:r>
      <w:r>
        <w:rPr>
          <w:rStyle w:val="Znakapoznpodarou"/>
        </w:rPr>
        <w:footnoteReference w:id="36"/>
      </w:r>
      <w:r>
        <w:t xml:space="preserve"> </w:t>
      </w:r>
      <w:r w:rsidR="00284E01">
        <w:t>Jako jeden z</w:t>
      </w:r>
      <w:r w:rsidR="0011179B">
        <w:t xml:space="preserve"> dalších </w:t>
      </w:r>
      <w:r w:rsidR="00284E01">
        <w:t>příznaků patologickéh</w:t>
      </w:r>
      <w:r w:rsidR="0011179B">
        <w:t>o hráčství označuje druhý autor bažení, které provází stres, nutí člověka jednat určitým způsobem, oslabuje paměť a schopnost se správně rozhodovat.</w:t>
      </w:r>
      <w:r w:rsidR="0011179B">
        <w:rPr>
          <w:rStyle w:val="Znakapoznpodarou"/>
        </w:rPr>
        <w:footnoteReference w:id="37"/>
      </w:r>
      <w:r w:rsidR="001545ED">
        <w:t xml:space="preserve"> Řada patologických hráčů není dle druhého autora v dobrém kontaktu s realitou: </w:t>
      </w:r>
      <w:r w:rsidR="001545ED" w:rsidRPr="001545ED">
        <w:rPr>
          <w:i/>
        </w:rPr>
        <w:t>„Lze předpokládat, že se zde uplatňují klasické obranné mechanismy jako popření nebo racionalizace.“</w:t>
      </w:r>
      <w:r w:rsidR="001545ED">
        <w:rPr>
          <w:rStyle w:val="Znakapoznpodarou"/>
          <w:i/>
        </w:rPr>
        <w:footnoteReference w:id="38"/>
      </w:r>
      <w:r w:rsidR="005B267C">
        <w:t xml:space="preserve"> K dalším projevům druhý autor uvádí: </w:t>
      </w:r>
      <w:r w:rsidR="005B267C" w:rsidRPr="005B267C">
        <w:rPr>
          <w:i/>
        </w:rPr>
        <w:t>„U pokročilých forem patologického hráčství je častá trestná činnost, zejména zpronevěry, krádeže, podvody, neplacení výživného, mohou se objevit i násilné trestné činy a homosexuální prostituce.</w:t>
      </w:r>
      <w:r w:rsidR="005B267C">
        <w:rPr>
          <w:i/>
        </w:rPr>
        <w:t>“</w:t>
      </w:r>
      <w:r w:rsidR="005B267C">
        <w:rPr>
          <w:rStyle w:val="Znakapoznpodarou"/>
          <w:i/>
        </w:rPr>
        <w:footnoteReference w:id="39"/>
      </w:r>
    </w:p>
    <w:p w:rsidR="00177393" w:rsidRDefault="00177393" w:rsidP="00177393">
      <w:pPr>
        <w:pStyle w:val="MUJTEXT"/>
      </w:pPr>
      <w:r>
        <w:t xml:space="preserve">Autoři se v rámci </w:t>
      </w:r>
      <w:r w:rsidR="007E01F0">
        <w:t xml:space="preserve">rizika ztráty zaměstnání, problémů ve vztazích, </w:t>
      </w:r>
      <w:r>
        <w:t>finančních problémů</w:t>
      </w:r>
      <w:r w:rsidR="007E01F0">
        <w:t>, v riziku sebevražednosti</w:t>
      </w:r>
      <w:r>
        <w:t xml:space="preserve"> </w:t>
      </w:r>
      <w:r w:rsidR="007E01F0">
        <w:t xml:space="preserve">a možné trestné činnosti </w:t>
      </w:r>
      <w:r>
        <w:t xml:space="preserve">shodnou, což je patrné </w:t>
      </w:r>
      <w:r w:rsidR="007E01F0">
        <w:t xml:space="preserve">i </w:t>
      </w:r>
      <w:r>
        <w:t xml:space="preserve">z jiných parametrů. </w:t>
      </w:r>
      <w:r w:rsidR="00686104">
        <w:t>První autor mezi projevy</w:t>
      </w:r>
      <w:r>
        <w:t xml:space="preserve"> </w:t>
      </w:r>
      <w:r w:rsidR="00686104">
        <w:t>problému</w:t>
      </w:r>
      <w:r>
        <w:t xml:space="preserve"> dále</w:t>
      </w:r>
      <w:r w:rsidR="00686104">
        <w:t xml:space="preserve"> řadí</w:t>
      </w:r>
      <w:r>
        <w:t xml:space="preserve"> celkovou osobní devastaci, poruchy pozornosti a projevy problému přirovnává k chování při drogové závislosti. Druhý autor </w:t>
      </w:r>
      <w:r w:rsidR="007E01F0">
        <w:t>projevy patologického hráčství přímo s chováním při drogové závislosti nesrovnává. U</w:t>
      </w:r>
      <w:r>
        <w:t>vádí</w:t>
      </w:r>
      <w:r w:rsidR="007E01F0">
        <w:t xml:space="preserve"> bažení,</w:t>
      </w:r>
      <w:r>
        <w:t xml:space="preserve"> zhoršené sebeovládání</w:t>
      </w:r>
      <w:r w:rsidR="007E01F0">
        <w:t xml:space="preserve"> a zhoršený kontakt s realitou.</w:t>
      </w:r>
    </w:p>
    <w:p w:rsidR="00686104" w:rsidRPr="004062D7" w:rsidRDefault="00686104" w:rsidP="00686104">
      <w:pPr>
        <w:pStyle w:val="MUJTEXT"/>
      </w:pPr>
    </w:p>
    <w:p w:rsidR="00255E2B" w:rsidRDefault="00255E2B" w:rsidP="00255E2B">
      <w:pPr>
        <w:pStyle w:val="MUJPODNADPIS"/>
        <w:numPr>
          <w:ilvl w:val="0"/>
          <w:numId w:val="50"/>
        </w:numPr>
      </w:pPr>
      <w:r>
        <w:t>Vidí autoři na hazardním hraní nějaké pozitivní aspekty?</w:t>
      </w:r>
    </w:p>
    <w:p w:rsidR="00255E2B" w:rsidRDefault="00243863" w:rsidP="00255E2B">
      <w:pPr>
        <w:pStyle w:val="MUJTEXT"/>
      </w:pPr>
      <w:r>
        <w:t xml:space="preserve">Podle prvního autora by připuštění možnosti „zdravého“ hraní mohlo napomoci vysvětlit podstatu přitažlivosti hraní pro člověka. Říká: </w:t>
      </w:r>
      <w:r w:rsidRPr="00243863">
        <w:rPr>
          <w:i/>
        </w:rPr>
        <w:t>„Možnost sledování pozitivních aspektů herních aktivit a zkoumání jejich vlivu na mentální zdraví nabízí nový prostor pro studium prospěšnosti herních činností.</w:t>
      </w:r>
      <w:r>
        <w:t xml:space="preserve"> </w:t>
      </w:r>
      <w:r>
        <w:rPr>
          <w:rStyle w:val="Znakapoznpodarou"/>
        </w:rPr>
        <w:footnoteReference w:id="40"/>
      </w:r>
      <w:r>
        <w:t xml:space="preserve"> Dle prvního autora může prospěch plynoucí z hraní z pohledu jedince obsahovat pozitivní aspekty, jako je </w:t>
      </w:r>
      <w:r w:rsidRPr="009062A2">
        <w:rPr>
          <w:b/>
        </w:rPr>
        <w:t>sociální aspekt</w:t>
      </w:r>
      <w:r>
        <w:t xml:space="preserve"> (způsob společenského začleňování) v</w:t>
      </w:r>
      <w:r w:rsidR="009062A2">
        <w:t> </w:t>
      </w:r>
      <w:r>
        <w:t>prostředí</w:t>
      </w:r>
      <w:r w:rsidR="009062A2">
        <w:t xml:space="preserve">, kde se cítí dobře a pocit příslušnosti k dané sociální skupině může jedince naplňovat a poskytovat zdravou změnu a oddech od požadavků každodenního života. Dále může být pro jedince psychohygienickým prostředkem </w:t>
      </w:r>
      <w:r w:rsidR="009062A2" w:rsidRPr="009062A2">
        <w:rPr>
          <w:b/>
        </w:rPr>
        <w:t>aspekt hraní</w:t>
      </w:r>
      <w:r w:rsidR="009062A2">
        <w:t>, kdy má jedinec možnost hraní a uplatnění soupeřivosti i v období dospělosti.</w:t>
      </w:r>
      <w:r w:rsidR="003079B1">
        <w:t xml:space="preserve"> Možnost tréninku a posilování řady kognitivních procesů zase vede k </w:t>
      </w:r>
      <w:r w:rsidR="003079B1" w:rsidRPr="003079B1">
        <w:rPr>
          <w:b/>
        </w:rPr>
        <w:t>aspektu stimulačnímu</w:t>
      </w:r>
      <w:r w:rsidR="003079B1">
        <w:t>. První autor dále uvádí, že z hlediska společnosti dochází k </w:t>
      </w:r>
      <w:r w:rsidR="003079B1" w:rsidRPr="003079B1">
        <w:rPr>
          <w:b/>
        </w:rPr>
        <w:t>ekonomickému rozvoji</w:t>
      </w:r>
      <w:r w:rsidR="003079B1">
        <w:t>, vytvoření nových pracovních míst a rozsáhlejší hrací centra mohou stimulovat oblasti turistiky a pohostinství.</w:t>
      </w:r>
      <w:r w:rsidR="009062A2">
        <w:rPr>
          <w:rStyle w:val="Znakapoznpodarou"/>
        </w:rPr>
        <w:footnoteReference w:id="41"/>
      </w:r>
      <w:r w:rsidR="003D7A50">
        <w:t xml:space="preserve"> Podle prvního autora se u osob, které nepodlehnou závislostem, ukazuje, že vykazují lepší schopnost adaptability, jsou pružnější a dynamičtější.</w:t>
      </w:r>
      <w:r w:rsidR="003D7A50">
        <w:rPr>
          <w:rStyle w:val="Znakapoznpodarou"/>
        </w:rPr>
        <w:footnoteReference w:id="42"/>
      </w:r>
    </w:p>
    <w:p w:rsidR="00BD2B24" w:rsidRDefault="00193349" w:rsidP="00255E2B">
      <w:pPr>
        <w:pStyle w:val="MUJTEXT"/>
      </w:pPr>
      <w:r>
        <w:lastRenderedPageBreak/>
        <w:t xml:space="preserve">Druhý autor ve své publikaci žádné pozitivní aspekty nejmenuje. Naopak </w:t>
      </w:r>
      <w:r w:rsidR="00CA472F">
        <w:t xml:space="preserve">jmenuje i další negativní faktory a </w:t>
      </w:r>
      <w:r>
        <w:t>poukazuje na negativní faktory ovlivňující širší společnost, jako jsou vyšší náklady na zdravotní péči u hráče i jeho příbuzných, nižší produktivitu práce a s tím spojené nižší daňové odvody, bezdomovectví spojené s kriminalitou a šířením infekčních nemocí, náklady v souvislosti s delikvencí a kriminalitou (např</w:t>
      </w:r>
      <w:r w:rsidR="00CA472F">
        <w:t>. krádeže, podvody, zpronevěry) nebo</w:t>
      </w:r>
      <w:r>
        <w:t xml:space="preserve"> organizovaný zločin</w:t>
      </w:r>
      <w:r w:rsidR="00CA472F">
        <w:t>. Hazard slouží podle druhého autora i jako prostředek k praní špinavých peněz a vlivem hazardu vzniká ekonomicky nestabilní prostředí.</w:t>
      </w:r>
      <w:r>
        <w:t xml:space="preserve"> </w:t>
      </w:r>
      <w:r>
        <w:rPr>
          <w:rStyle w:val="Znakapoznpodarou"/>
        </w:rPr>
        <w:footnoteReference w:id="43"/>
      </w:r>
    </w:p>
    <w:p w:rsidR="005D5FA6" w:rsidRDefault="007E01F0" w:rsidP="00255E2B">
      <w:pPr>
        <w:pStyle w:val="MUJTEXT"/>
      </w:pPr>
      <w:r>
        <w:t>V rámci pozitivních aspektů hazardního hraní lze předpokládat, že se autoři nijak neshodují. Zatímco první autor uvádí připuštění možnosti „zdravého“ hraní jako nápomoc k vysvětlení přitažlivosti hraní pro člověka a uvádí aspekty jako je společenské začlenění, uplatnění soupeřivosti v dospělosti, ekonomický rozvoj</w:t>
      </w:r>
      <w:r w:rsidR="00FD5BEA">
        <w:t xml:space="preserve"> a posilování kognitivních procesů, druhý autor žádné pozitivní aspekty nezmiňuje. Druhý autor naopak zmiňuje negativní aspekty celospolečenského měřítka a ekonomickou nestabilitu.</w:t>
      </w:r>
    </w:p>
    <w:p w:rsidR="00FD5BEA" w:rsidRDefault="00FD5BEA" w:rsidP="00255E2B">
      <w:pPr>
        <w:pStyle w:val="MUJTEXT"/>
      </w:pPr>
    </w:p>
    <w:p w:rsidR="00EC7BE9" w:rsidRDefault="00EC7BE9" w:rsidP="00EC7BE9">
      <w:pPr>
        <w:pStyle w:val="MUJPODNADPIS"/>
        <w:numPr>
          <w:ilvl w:val="0"/>
          <w:numId w:val="50"/>
        </w:numPr>
      </w:pPr>
      <w:r>
        <w:t>Jak</w:t>
      </w:r>
      <w:r w:rsidR="009B7D5D">
        <w:t>é vidí autoři možnosti prevence</w:t>
      </w:r>
      <w:r w:rsidR="002A376D">
        <w:t xml:space="preserve"> </w:t>
      </w:r>
      <w:r w:rsidR="00BD2B24">
        <w:t xml:space="preserve">a její účinnost? </w:t>
      </w:r>
    </w:p>
    <w:p w:rsidR="00EC7BE9" w:rsidRDefault="00EC7BE9" w:rsidP="00BD2B24">
      <w:pPr>
        <w:pStyle w:val="MUJTEXT"/>
        <w:rPr>
          <w:i/>
        </w:rPr>
      </w:pPr>
      <w:r w:rsidRPr="00477F30">
        <w:t>Dle prvního autora u nás v první řadě neodpovídá stav připravenosti a schopnosti aktivně čelit nebezpečí spojenému se stále se zvyšujícím rizikem vzniku hráčských závislostí</w:t>
      </w:r>
      <w:r>
        <w:t xml:space="preserve">. </w:t>
      </w:r>
      <w:r w:rsidRPr="00EC7BE9">
        <w:rPr>
          <w:i/>
        </w:rPr>
        <w:t>„Kromě jiného prozatím u nás postrádáme systematická experimentální sledování tohoto nebezpečného fenoménu, a to jak v celé společnosti, tak i u jednotlivých sociálních segmentů. Nemáme proto ani k dispozici údaje kvalitně mapující současný stav a jeho genezi. Kromě stále zvyšujícího se počtu léčících se závislých osob se tak v České republice můžeme nepřímo opírat hlavně o statistiky uvádějící například velikost oficiálně prosázených peněz u jednotlivých druhů hazardních her. Nic, ale nevypovídá o řadě údajů potřebných k zabránění či alespoň snížení míry devastace hrajících lidí i všech osob pohybujících se v jejich blízkosti.“</w:t>
      </w:r>
      <w:r w:rsidRPr="00EC7BE9">
        <w:rPr>
          <w:rStyle w:val="Znakapoznpodarou"/>
          <w:i/>
        </w:rPr>
        <w:footnoteReference w:id="44"/>
      </w:r>
      <w:r w:rsidR="00964F83">
        <w:rPr>
          <w:i/>
        </w:rPr>
        <w:t xml:space="preserve"> </w:t>
      </w:r>
      <w:r w:rsidR="004F6D6C">
        <w:t>Dle prvního autora by si patologičtí hráči měli uvědomit, že pojem výherní automaty je velmi nepřesný a nad výherním hracím přístrojem se vyhrát nedá.</w:t>
      </w:r>
      <w:r w:rsidR="004F6D6C">
        <w:rPr>
          <w:rStyle w:val="Znakapoznpodarou"/>
        </w:rPr>
        <w:footnoteReference w:id="45"/>
      </w:r>
      <w:r w:rsidR="00AD7021">
        <w:t xml:space="preserve"> V rámci prevence první autor říká:</w:t>
      </w:r>
      <w:r w:rsidR="00E95277">
        <w:t xml:space="preserve"> </w:t>
      </w:r>
      <w:r w:rsidR="00E95277" w:rsidRPr="00E95277">
        <w:rPr>
          <w:i/>
        </w:rPr>
        <w:t>„Včasnost preventivního působení není závislá na věku oslovených osob. Je limitována hlavně tím, zda se preventivní intervence k danému jedinci dostane dříve než podnět, proti kterému má prevence působit.“</w:t>
      </w:r>
      <w:r w:rsidR="00E95277">
        <w:rPr>
          <w:rStyle w:val="Znakapoznpodarou"/>
          <w:i/>
        </w:rPr>
        <w:footnoteReference w:id="46"/>
      </w:r>
      <w:r w:rsidR="00AD7021" w:rsidRPr="00E95277">
        <w:rPr>
          <w:i/>
        </w:rPr>
        <w:t xml:space="preserve"> </w:t>
      </w:r>
      <w:r w:rsidR="00AD7021" w:rsidRPr="0085400A">
        <w:rPr>
          <w:i/>
        </w:rPr>
        <w:t>„V případě preventivního působení je hlavní úsilí nasměrováno na oblast systému sociálního, rodinného a psychického a to ve smyslu zabránění</w:t>
      </w:r>
      <w:r w:rsidR="0085400A" w:rsidRPr="0085400A">
        <w:rPr>
          <w:i/>
        </w:rPr>
        <w:t xml:space="preserve"> vytvoření nesprávných postojů, které v případě patologického hráčství představují riziko vzniku herních závislostí.</w:t>
      </w:r>
      <w:r w:rsidR="003F62FB">
        <w:rPr>
          <w:i/>
        </w:rPr>
        <w:t xml:space="preserve"> Budeme-li </w:t>
      </w:r>
      <w:r w:rsidR="0085400A" w:rsidRPr="0085400A">
        <w:rPr>
          <w:i/>
        </w:rPr>
        <w:t>brát v úvahu i věko</w:t>
      </w:r>
      <w:r w:rsidR="003F62FB">
        <w:rPr>
          <w:i/>
        </w:rPr>
        <w:t>v</w:t>
      </w:r>
      <w:r w:rsidR="0085400A" w:rsidRPr="0085400A">
        <w:rPr>
          <w:i/>
        </w:rPr>
        <w:t>ý aspekt, pak v případě snahy předcházení vzniku herní závislosti může u dětí a dospívajících velkou úlohu sehrát i škola.“</w:t>
      </w:r>
      <w:r w:rsidR="0085400A">
        <w:rPr>
          <w:rStyle w:val="Znakapoznpodarou"/>
          <w:i/>
        </w:rPr>
        <w:footnoteReference w:id="47"/>
      </w:r>
      <w:r w:rsidR="003F62FB">
        <w:rPr>
          <w:i/>
        </w:rPr>
        <w:t xml:space="preserve"> </w:t>
      </w:r>
      <w:r w:rsidR="003F62FB" w:rsidRPr="003F62FB">
        <w:t>Preventivní působení</w:t>
      </w:r>
      <w:r w:rsidR="003F62FB">
        <w:t xml:space="preserve"> by podle prvního autora nemělo v žádném případě opomíjet ty skupiny osob, které se s hraním ještě nesetkaly, případně které hrají pouze rekreačně</w:t>
      </w:r>
      <w:r w:rsidR="00CC0E3C">
        <w:t>.</w:t>
      </w:r>
      <w:r w:rsidR="00CC0E3C">
        <w:rPr>
          <w:rStyle w:val="Znakapoznpodarou"/>
        </w:rPr>
        <w:footnoteReference w:id="48"/>
      </w:r>
      <w:r w:rsidR="00E95277">
        <w:t xml:space="preserve"> </w:t>
      </w:r>
      <w:r w:rsidR="00BD2B24" w:rsidRPr="00BD2B24">
        <w:rPr>
          <w:i/>
        </w:rPr>
        <w:t>„Hlavní význam prevence by měl kromě jiného spočívat i v tom, že by měla ve svých důsledcích zpomalovat nárůst počtu osob, které budou mít ve spojení s hraním značné problémy.“</w:t>
      </w:r>
      <w:r w:rsidR="00BD2B24">
        <w:rPr>
          <w:rStyle w:val="Znakapoznpodarou"/>
          <w:i/>
        </w:rPr>
        <w:footnoteReference w:id="49"/>
      </w:r>
    </w:p>
    <w:p w:rsidR="0013280F" w:rsidRDefault="0000558A" w:rsidP="00BD2B24">
      <w:pPr>
        <w:pStyle w:val="MUJTEXT"/>
        <w:rPr>
          <w:i/>
        </w:rPr>
      </w:pPr>
      <w:r>
        <w:t>Podle druhého autora při prevenci patologického hráčství existují určitá specifika</w:t>
      </w:r>
      <w:r w:rsidR="00AC7D55">
        <w:t>, obzvlášť při prevenci problémů působených hazardem u dětí a dospívajících</w:t>
      </w:r>
      <w:r>
        <w:t xml:space="preserve">: </w:t>
      </w:r>
      <w:r w:rsidRPr="00AC7D55">
        <w:rPr>
          <w:i/>
        </w:rPr>
        <w:t>„T</w:t>
      </w:r>
      <w:r w:rsidR="00AC7D55">
        <w:rPr>
          <w:i/>
        </w:rPr>
        <w:t>a se týkají např. systému hodno</w:t>
      </w:r>
      <w:r w:rsidRPr="00AC7D55">
        <w:rPr>
          <w:i/>
        </w:rPr>
        <w:t xml:space="preserve">t a nakládání s financemi. </w:t>
      </w:r>
      <w:r w:rsidRPr="00AC7D55">
        <w:rPr>
          <w:i/>
        </w:rPr>
        <w:lastRenderedPageBreak/>
        <w:t>Existuje zde také přesah k počítačové gramotnosti, protože nejrůznější formy hazardu jsou v dnešní době dostupné na internetu. Z celospolečenského hlediska je nejdůležitější omezování dostupn</w:t>
      </w:r>
      <w:r w:rsidR="00AC7D55" w:rsidRPr="00AC7D55">
        <w:rPr>
          <w:i/>
        </w:rPr>
        <w:t>o</w:t>
      </w:r>
      <w:r w:rsidRPr="00AC7D55">
        <w:rPr>
          <w:i/>
        </w:rPr>
        <w:t>sti hazardu pro děti a dospívající a regulace reklam</w:t>
      </w:r>
      <w:r w:rsidR="00AC7D55" w:rsidRPr="00AC7D55">
        <w:rPr>
          <w:i/>
        </w:rPr>
        <w:t>y na hazard takovým způsobem, a</w:t>
      </w:r>
      <w:r w:rsidRPr="00AC7D55">
        <w:rPr>
          <w:i/>
        </w:rPr>
        <w:t>by nepůsobila na tuto velmi zranitelnou část populace.“</w:t>
      </w:r>
      <w:r w:rsidR="00AC7D55">
        <w:rPr>
          <w:rStyle w:val="Znakapoznpodarou"/>
          <w:i/>
        </w:rPr>
        <w:footnoteReference w:id="50"/>
      </w:r>
      <w:r w:rsidR="001F674E">
        <w:t xml:space="preserve"> Dle druhého autora by reklama na hazardní hry měla být buďto zcela zakázána nebo alespoň podstatně omezena. </w:t>
      </w:r>
      <w:r w:rsidR="001F674E">
        <w:rPr>
          <w:rStyle w:val="Znakapoznpodarou"/>
        </w:rPr>
        <w:footnoteReference w:id="51"/>
      </w:r>
      <w:r w:rsidR="00E67F78">
        <w:t xml:space="preserve"> V rámci prevence ve školách, uvádí druhý autor: </w:t>
      </w:r>
      <w:r w:rsidR="00E67F78" w:rsidRPr="00E553D7">
        <w:rPr>
          <w:i/>
        </w:rPr>
        <w:t>„Prevenci problémů působených hazardními hrami je vhodné zasadit do rámce výchovy ke zdravému způsobu života a integrovat ji s prevencí škod působených návykovými látkami.</w:t>
      </w:r>
      <w:r w:rsidR="00E553D7">
        <w:rPr>
          <w:i/>
        </w:rPr>
        <w:t xml:space="preserve"> V ideálním případě by se škola mohla stát ohniskem prevence hazardu v širší společnosti, kde se setkávají a koordinují své kroky nejen pedagogové a rodiče.</w:t>
      </w:r>
      <w:r w:rsidR="00E67F78" w:rsidRPr="00E553D7">
        <w:rPr>
          <w:i/>
        </w:rPr>
        <w:t>“</w:t>
      </w:r>
      <w:r w:rsidR="00E67F78" w:rsidRPr="00E553D7">
        <w:rPr>
          <w:rStyle w:val="Znakapoznpodarou"/>
          <w:i/>
        </w:rPr>
        <w:footnoteReference w:id="52"/>
      </w:r>
    </w:p>
    <w:p w:rsidR="00C071DB" w:rsidRDefault="008F620B" w:rsidP="00F41679">
      <w:pPr>
        <w:pStyle w:val="MUJTEXT"/>
        <w:rPr>
          <w:i/>
        </w:rPr>
      </w:pPr>
      <w:r>
        <w:t xml:space="preserve">V rámci prevence </w:t>
      </w:r>
      <w:r w:rsidR="00C071DB">
        <w:t xml:space="preserve">je dle prvního autora v našem prostředí problém hlavně v neexistujícím systematickém experimentálním sledování, výzkumu tohoto fenoménu a v kvalitně nezmapovaném současném stavu. </w:t>
      </w:r>
      <w:r w:rsidR="00720D6A">
        <w:t>Nicméně první autor prevenci považuje za velmi důležitou a hlavní úsilí by dle prvního autora mělo být směřován</w:t>
      </w:r>
      <w:r w:rsidR="00720D6A" w:rsidRPr="00720D6A">
        <w:t>o na oblast systému sociálního, rodinného a psychického. Velkou úlohu dle něj může mít i škola</w:t>
      </w:r>
      <w:r w:rsidR="00F41679">
        <w:t>, na čemž se shoduje i druhý autor</w:t>
      </w:r>
      <w:r w:rsidR="00720D6A" w:rsidRPr="00720D6A">
        <w:t>.</w:t>
      </w:r>
      <w:r w:rsidR="00F41679">
        <w:rPr>
          <w:i/>
        </w:rPr>
        <w:t xml:space="preserve"> </w:t>
      </w:r>
      <w:r w:rsidR="00F41679">
        <w:t xml:space="preserve">Druhý autor dále zmiňuje specifika prevence, </w:t>
      </w:r>
      <w:r w:rsidR="00F41679" w:rsidRPr="00F41679">
        <w:t>jako je systému hodnot, nakládání s financemi a vzhledem k možnosti sázení přes internet i  počítačová gramotnost.</w:t>
      </w:r>
      <w:r w:rsidR="00F41679">
        <w:t xml:space="preserve"> Podle druhého autora je ovšem nejdůležitější v první řadě zcela zamezit propagaci hazardu.</w:t>
      </w:r>
    </w:p>
    <w:p w:rsidR="00F41679" w:rsidRPr="00F41679" w:rsidRDefault="00F41679" w:rsidP="00F41679">
      <w:pPr>
        <w:pStyle w:val="MUJTEXT"/>
        <w:rPr>
          <w:i/>
        </w:rPr>
      </w:pPr>
    </w:p>
    <w:p w:rsidR="00BD2B24" w:rsidRDefault="00BD2B24" w:rsidP="00BD2B24">
      <w:pPr>
        <w:pStyle w:val="MUJPODNADPIS"/>
        <w:numPr>
          <w:ilvl w:val="0"/>
          <w:numId w:val="50"/>
        </w:numPr>
      </w:pPr>
      <w:r>
        <w:t>Jaké vidí autoři možnosti řešení problému?</w:t>
      </w:r>
    </w:p>
    <w:p w:rsidR="008D31F6" w:rsidRDefault="000561BD" w:rsidP="000561BD">
      <w:pPr>
        <w:pStyle w:val="MUJTEXT"/>
        <w:ind w:firstLine="0"/>
      </w:pPr>
      <w:r>
        <w:t xml:space="preserve">V případě řešení a léčby již vzniklého problému, první autor říká: </w:t>
      </w:r>
      <w:r w:rsidRPr="000561BD">
        <w:rPr>
          <w:i/>
        </w:rPr>
        <w:t>„V případě terapie patologického hráčství je kromě řešení závislostní složky a dalších aspektů nutné zaměřit se i na změnu postoje k vlastní herní aktivitě (případně ke způsobu života, ke kterému se daný gambler „uchýlil“ nebo na který si navykl“.</w:t>
      </w:r>
      <w:r>
        <w:rPr>
          <w:rStyle w:val="Znakapoznpodarou"/>
        </w:rPr>
        <w:footnoteReference w:id="53"/>
      </w:r>
      <w:r w:rsidR="0050017D">
        <w:rPr>
          <w:i/>
        </w:rPr>
        <w:t xml:space="preserve"> </w:t>
      </w:r>
      <w:r w:rsidR="0050017D">
        <w:t xml:space="preserve">Dále je pro úspěšný terapeutický proces důležitá jak podoba budoucnosti, tak i to, co nového jedinec získá poté, co se zřekne něčeho, vůči čemu se původně postojově nasměroval kladně. Pokud totiž uvolnění od nežádoucího jevu není nahrazeno něčím pro jedince dostatečně atraktivním a žádoucím, v řadě případů dochází k setrvačnému vracení se k tomu, co mu určitou dílčí pozitivitu přinášelo. Terapeutické programy často nejsou schopny nabídnout adekvátnější a kvalitnější náhradu, která by jedince motivovala k trvalému zanechání činnosti. </w:t>
      </w:r>
      <w:r w:rsidR="00286C1B">
        <w:t>Nejhůře terapeuticky řešitelní jsou dle prvního autora ti jedinci, kterým se rozpadlo rodinné zázemí, mají dluhy, připravili se o majetek a navíc se dostali do rozporu se zákonem, což ještě více stěžuje možnost získat dobré zaměstnání.</w:t>
      </w:r>
      <w:r w:rsidR="0050017D">
        <w:t xml:space="preserve"> </w:t>
      </w:r>
      <w:r w:rsidR="00286C1B">
        <w:t xml:space="preserve">Návrat d života je pak pro tyto osoby proces velmi obtížný a podle prvního autora mnohdy i nemožný. Jako prvním velký úspěšný okamžik první autor označuje situaci, kdy se jedinec sám rozhodne s problémem bojovat, nicméně cesta ke skutečnému zvládnutí je velmi dlouhá. Podle prvního autora je také důležité nepodceňovat vliv rizikového faktoru, kdy se jedinec například setká se známým hráčem nebo u něj dojde k nějakému náhlému životnímu zklamání. </w:t>
      </w:r>
      <w:r w:rsidR="009E5CC1">
        <w:t>V takových chvílích, kdy dochází k rezignaci, je velmi důležité, aby jedince osoby emočně vztahového rámce podrželi a poskytli sociální podporu.</w:t>
      </w:r>
      <w:r w:rsidR="009E5CC1">
        <w:rPr>
          <w:rStyle w:val="Znakapoznpodarou"/>
        </w:rPr>
        <w:footnoteReference w:id="54"/>
      </w:r>
      <w:r w:rsidR="006F2914">
        <w:t xml:space="preserve"> </w:t>
      </w:r>
      <w:r w:rsidR="008D31F6">
        <w:t xml:space="preserve">První autor nepovažuje za nutné se </w:t>
      </w:r>
      <w:r w:rsidR="008D31F6">
        <w:lastRenderedPageBreak/>
        <w:t xml:space="preserve">konkrétními terapeutickými postoji vhodnými pro aplikaci u problémových hráčů ve své publikaci zabývat, vzhledem k tomu, že jsou přehledně uváděny v odborných dílech terapeuta primáře MUDr. Zdeňka Nešpora CSc. </w:t>
      </w:r>
      <w:r w:rsidR="003E6D4A">
        <w:rPr>
          <w:rStyle w:val="Znakapoznpodarou"/>
        </w:rPr>
        <w:footnoteReference w:id="55"/>
      </w:r>
    </w:p>
    <w:p w:rsidR="00C572B8" w:rsidRPr="00095121" w:rsidRDefault="00C572B8" w:rsidP="000561BD">
      <w:pPr>
        <w:pStyle w:val="MUJTEXT"/>
        <w:ind w:firstLine="0"/>
        <w:rPr>
          <w:i/>
        </w:rPr>
      </w:pPr>
      <w:r>
        <w:t xml:space="preserve">Druhý autor zmiňuje jako jedno z počátečních řešení krátkou intervenci, kdy jsou klientům předávány kontakty na ambulantní zařízení a jsou zodpovězeny všechny jejich dotazy. Jako první pomoc pro patologické hráčství jmenuje několik důležitých aspektů, </w:t>
      </w:r>
      <w:r w:rsidR="00FA5E9E">
        <w:t>jako je přiznání</w:t>
      </w:r>
      <w:r>
        <w:t xml:space="preserve"> problém</w:t>
      </w:r>
      <w:r w:rsidR="00FA5E9E">
        <w:t>u, nenošení větší částky peněz a omezit přístup k penězům, splácet dluhy postupně a plánovitě, informovat poctivě rodinu a hlavně vydržet.</w:t>
      </w:r>
      <w:r w:rsidR="00FA5E9E">
        <w:rPr>
          <w:rStyle w:val="Znakapoznpodarou"/>
        </w:rPr>
        <w:footnoteReference w:id="56"/>
      </w:r>
      <w:r w:rsidR="00DF6E7A">
        <w:t xml:space="preserve"> Dále druhý autor v rámci léčby již vzniklého problému uvádí kromě rodinné terapie i krizovou intervenci. </w:t>
      </w:r>
      <w:r w:rsidR="00DF6E7A">
        <w:rPr>
          <w:i/>
        </w:rPr>
        <w:t>„Klienta necháme projevit jeho pocity, nasloucháme mu, vyhýbáme se moralizování. V krizové intervenci pro sebevražedné tendence bývá vhodné nabídnout informaci, že problém je léčitelný a kde léčbu hledat. Adresu a telefonní číslo příslušného zařízení, by měl klient dostat napsané. Pokud je to možné, zapojíme i rodinu. Pomáhá také praktická pomoc při řešení naléhavých problémů (sociální a právní pomoc apod.).“</w:t>
      </w:r>
      <w:r w:rsidR="00DF6E7A">
        <w:rPr>
          <w:rStyle w:val="Znakapoznpodarou"/>
          <w:i/>
        </w:rPr>
        <w:footnoteReference w:id="57"/>
      </w:r>
      <w:r w:rsidR="00DF6E7A">
        <w:rPr>
          <w:i/>
        </w:rPr>
        <w:t xml:space="preserve"> </w:t>
      </w:r>
      <w:r w:rsidR="00C314F3">
        <w:t xml:space="preserve">Dále druhý autor zmiňuje i příklady kognitivní restrukturace, které laicky můžeme nazvat opravováním chyb myšlení (například chyba myšlení: Hazardem rychle zbohatnu i bez práce. Restrukturace: Díky hazardu bohatnou výlučně jeho provozovatelé, nikoli hráči). </w:t>
      </w:r>
      <w:r w:rsidR="00C314F3">
        <w:rPr>
          <w:rStyle w:val="Znakapoznpodarou"/>
        </w:rPr>
        <w:footnoteReference w:id="58"/>
      </w:r>
      <w:r w:rsidR="00CC38E1">
        <w:t xml:space="preserve"> Na kognitivní restrukturaci by podle druhého autora mělo navazovat nabízení lepších alternativ.</w:t>
      </w:r>
      <w:r w:rsidR="001E33D8">
        <w:rPr>
          <w:rStyle w:val="Znakapoznpodarou"/>
        </w:rPr>
        <w:footnoteReference w:id="59"/>
      </w:r>
      <w:r w:rsidR="00095121">
        <w:t xml:space="preserve"> Druhý autor dále k léčbě patologickéh</w:t>
      </w:r>
      <w:r w:rsidR="0069444E">
        <w:t>o hráčství hovoří o psychoterapii</w:t>
      </w:r>
      <w:r w:rsidR="00095121">
        <w:t xml:space="preserve"> (terapii individuální - kdy je jasnou výhodou větší diskrétnost, dále skupinové a hromadné – kdy pozitivně působí i vzájemná podpora členů).</w:t>
      </w:r>
      <w:r w:rsidR="00095121">
        <w:rPr>
          <w:rStyle w:val="Znakapoznpodarou"/>
        </w:rPr>
        <w:footnoteReference w:id="60"/>
      </w:r>
      <w:r w:rsidR="00095121">
        <w:t xml:space="preserve">  Druhý autor také uvádí antidepresiva jako jednu z dalších možností léčby. Je podle něj, ale třeba upozornit klienty, že </w:t>
      </w:r>
      <w:r w:rsidR="000B123A">
        <w:t>antidepresiva začínají působit po určité době, v řádu několika týdnů.</w:t>
      </w:r>
      <w:r w:rsidR="000B123A">
        <w:rPr>
          <w:rStyle w:val="Znakapoznpodarou"/>
        </w:rPr>
        <w:footnoteReference w:id="61"/>
      </w:r>
    </w:p>
    <w:p w:rsidR="005A619D" w:rsidRDefault="005A619D" w:rsidP="005A619D">
      <w:pPr>
        <w:pStyle w:val="MUJTEXT"/>
      </w:pPr>
      <w:r>
        <w:t>První autor v první řade považuje za úspěšný okamžik, když se jedinec rozhodne s problémem bojovat sám od sebe. V rámci terapie uvádí důležitost zaměření se na změnu postoje, případně způsobu života. Také je dle prvního autora důležitá podoba budoucnosti a nabídnutí atraktivní alternativy hraní hazardu. To bývá dle prvního autora problém, jelikož terapeutické programy takové alternativy většinou nejsou schopny nabídnout. Za důležité také první autor považuje</w:t>
      </w:r>
      <w:r w:rsidR="0069444E">
        <w:t xml:space="preserve"> oporu,</w:t>
      </w:r>
      <w:r>
        <w:t xml:space="preserve"> existenci „vztyčné osoby“, která jedince psychicky podrží </w:t>
      </w:r>
      <w:r w:rsidR="0069444E">
        <w:t xml:space="preserve">například </w:t>
      </w:r>
      <w:r>
        <w:t>ve chvílích životního zklamání</w:t>
      </w:r>
      <w:r w:rsidR="0069444E">
        <w:t xml:space="preserve"> či při rezignaci. Více se konkrétními terapeutickými postoji první autor nezabývá</w:t>
      </w:r>
      <w:r w:rsidR="00D47DEA">
        <w:t>, stejně tak nezmiňuje možnost léčby pomocí antidepresiv</w:t>
      </w:r>
      <w:r w:rsidR="0069444E">
        <w:t xml:space="preserve">. </w:t>
      </w:r>
      <w:r w:rsidR="00D47DEA">
        <w:t>Druhý možnost medikace – léčbu pomocí antidepresiv, zmiňuje. V</w:t>
      </w:r>
      <w:r w:rsidR="0069444E">
        <w:t xml:space="preserve"> rámci řešení problému </w:t>
      </w:r>
      <w:r w:rsidR="00D47DEA">
        <w:t xml:space="preserve">dále druhý autor </w:t>
      </w:r>
      <w:r w:rsidR="0069444E">
        <w:t>uvádí krátkou intervenci a rodinnou terapii. Blíže</w:t>
      </w:r>
      <w:r w:rsidR="00D47DEA">
        <w:t xml:space="preserve"> také</w:t>
      </w:r>
      <w:r w:rsidR="0069444E">
        <w:t xml:space="preserve"> zmiňuje restrukturaci, psychoterapii a krizovou intervenci s konkrétními postupy. Uvádí také několik konkrétních hledisek pro pomoc zvládnutí patologického hráčství, jako je přiznání problému, nenošení větší částky peněz, plánovité splácení dlužných pohledávek, nezatajování situace rodině a předně vydržet. Druhý autor se s prvním autorem shodne na důležitosti nabízení lepších alternativ. </w:t>
      </w:r>
    </w:p>
    <w:p w:rsidR="00116CC4" w:rsidRPr="00EC7BE9" w:rsidRDefault="006E464C" w:rsidP="00EC7BE9"/>
    <w:sectPr w:rsidR="00116CC4" w:rsidRPr="00EC7BE9" w:rsidSect="009C5A4E">
      <w:headerReference w:type="default" r:id="rId9"/>
      <w:footerReference w:type="default" r:id="rId10"/>
      <w:headerReference w:type="first" r:id="rId11"/>
      <w:pgSz w:w="11906" w:h="16838"/>
      <w:pgMar w:top="1134" w:right="1134" w:bottom="851" w:left="1134" w:header="708" w:footer="32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4C" w:rsidRDefault="006E464C" w:rsidP="00EC7BE9">
      <w:pPr>
        <w:spacing w:after="0" w:line="240" w:lineRule="auto"/>
      </w:pPr>
      <w:r>
        <w:separator/>
      </w:r>
    </w:p>
  </w:endnote>
  <w:endnote w:type="continuationSeparator" w:id="0">
    <w:p w:rsidR="006E464C" w:rsidRDefault="006E464C" w:rsidP="00EC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731737"/>
      <w:docPartObj>
        <w:docPartGallery w:val="Page Numbers (Bottom of Page)"/>
        <w:docPartUnique/>
      </w:docPartObj>
    </w:sdtPr>
    <w:sdtContent>
      <w:p w:rsidR="00253F78" w:rsidRDefault="001C6DBD">
        <w:pPr>
          <w:pStyle w:val="Zpat"/>
          <w:jc w:val="center"/>
        </w:pPr>
        <w:r>
          <w:fldChar w:fldCharType="begin"/>
        </w:r>
        <w:r w:rsidR="00253F78">
          <w:instrText>PAGE   \* MERGEFORMAT</w:instrText>
        </w:r>
        <w:r>
          <w:fldChar w:fldCharType="separate"/>
        </w:r>
        <w:r w:rsidR="00F80ED8" w:rsidRPr="00F80ED8">
          <w:rPr>
            <w:noProof/>
            <w:lang w:val="cs-CZ"/>
          </w:rPr>
          <w:t>7</w:t>
        </w:r>
        <w:r>
          <w:fldChar w:fldCharType="end"/>
        </w:r>
        <w:r w:rsidR="00253F78">
          <w:rPr>
            <w:lang w:val="cs-CZ"/>
          </w:rPr>
          <w:t>.</w:t>
        </w:r>
      </w:p>
    </w:sdtContent>
  </w:sdt>
  <w:p w:rsidR="007F7E8D" w:rsidRPr="009B5533" w:rsidRDefault="006E464C" w:rsidP="008F1417">
    <w:pPr>
      <w:pStyle w:val="Zpat"/>
      <w:tabs>
        <w:tab w:val="clear" w:pos="9072"/>
        <w:tab w:val="left" w:pos="4956"/>
        <w:tab w:val="left" w:pos="5664"/>
      </w:tabs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4C" w:rsidRDefault="006E464C" w:rsidP="00EC7BE9">
      <w:pPr>
        <w:spacing w:after="0" w:line="240" w:lineRule="auto"/>
      </w:pPr>
      <w:r>
        <w:separator/>
      </w:r>
    </w:p>
  </w:footnote>
  <w:footnote w:type="continuationSeparator" w:id="0">
    <w:p w:rsidR="006E464C" w:rsidRDefault="006E464C" w:rsidP="00EC7BE9">
      <w:pPr>
        <w:spacing w:after="0" w:line="240" w:lineRule="auto"/>
      </w:pPr>
      <w:r>
        <w:continuationSeparator/>
      </w:r>
    </w:p>
  </w:footnote>
  <w:footnote w:id="1">
    <w:p w:rsidR="00DD420D" w:rsidRPr="004443B6" w:rsidRDefault="00DD420D" w:rsidP="006B1951">
      <w:pPr>
        <w:pStyle w:val="MOJEMINI"/>
      </w:pPr>
      <w:r w:rsidRPr="00DD420D">
        <w:rPr>
          <w:rStyle w:val="Znakapoznpodarou"/>
          <w:sz w:val="18"/>
          <w:szCs w:val="18"/>
        </w:rPr>
        <w:footnoteRef/>
      </w:r>
      <w:r w:rsidRPr="00DD420D">
        <w:t xml:space="preserve"> </w:t>
      </w:r>
      <w:r w:rsidRPr="004443B6">
        <w:t xml:space="preserve">PRUNNER, Pavel. </w:t>
      </w:r>
      <w:r w:rsidRPr="004443B6">
        <w:rPr>
          <w:i/>
        </w:rPr>
        <w:t>Psychologie gamblerství aneb Sázka na štěstí.</w:t>
      </w:r>
      <w:r w:rsidRPr="004443B6">
        <w:t xml:space="preserve"> Plzeň: Aleš Čeněk, 200</w:t>
      </w:r>
      <w:r w:rsidR="009B7D5D" w:rsidRPr="004443B6">
        <w:t>8. ISBN 978-80-7380-074-1. S. 16</w:t>
      </w:r>
    </w:p>
  </w:footnote>
  <w:footnote w:id="2">
    <w:p w:rsidR="00F435D5" w:rsidRPr="00F435D5" w:rsidRDefault="00F435D5" w:rsidP="006B1951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20</w:t>
      </w:r>
    </w:p>
  </w:footnote>
  <w:footnote w:id="3">
    <w:p w:rsidR="006B1951" w:rsidRPr="006B1951" w:rsidRDefault="006B1951" w:rsidP="00D6100D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34</w:t>
      </w:r>
    </w:p>
  </w:footnote>
  <w:footnote w:id="4">
    <w:p w:rsidR="006B1951" w:rsidRPr="006B1951" w:rsidRDefault="006B1951" w:rsidP="00D726D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36</w:t>
      </w:r>
    </w:p>
  </w:footnote>
  <w:footnote w:id="5">
    <w:p w:rsidR="00D726D4" w:rsidRPr="00D726D4" w:rsidRDefault="00D726D4" w:rsidP="00D726D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36</w:t>
      </w:r>
    </w:p>
  </w:footnote>
  <w:footnote w:id="6">
    <w:p w:rsidR="00D726D4" w:rsidRPr="00D726D4" w:rsidRDefault="00D726D4" w:rsidP="00D726D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40</w:t>
      </w:r>
    </w:p>
  </w:footnote>
  <w:footnote w:id="7">
    <w:p w:rsidR="00FC26A7" w:rsidRPr="00FC26A7" w:rsidRDefault="00FC26A7" w:rsidP="00FC26A7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="001B64F1">
        <w:t xml:space="preserve">NEŠPOR, Karel a kol. </w:t>
      </w:r>
      <w:r w:rsidR="001B64F1">
        <w:rPr>
          <w:i/>
        </w:rPr>
        <w:t>Jak překonat hazard: prevence, krátká intervence a léčba.</w:t>
      </w:r>
      <w:r w:rsidR="001B64F1">
        <w:t xml:space="preserve"> Praha: Portál, 2011. ISBN 978-80-262-0009-3. S. 14</w:t>
      </w:r>
    </w:p>
  </w:footnote>
  <w:footnote w:id="8">
    <w:p w:rsidR="00284E01" w:rsidRPr="00284E01" w:rsidRDefault="00284E01" w:rsidP="006B605F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108</w:t>
      </w:r>
    </w:p>
  </w:footnote>
  <w:footnote w:id="9">
    <w:p w:rsidR="00BF3B0D" w:rsidRPr="00BF3B0D" w:rsidRDefault="00BF3B0D" w:rsidP="00BF3B0D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13</w:t>
      </w:r>
    </w:p>
  </w:footnote>
  <w:footnote w:id="10">
    <w:p w:rsidR="006B605F" w:rsidRPr="006B605F" w:rsidRDefault="006B605F" w:rsidP="006B605F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122</w:t>
      </w:r>
    </w:p>
  </w:footnote>
  <w:footnote w:id="11">
    <w:p w:rsidR="00D6100D" w:rsidRPr="00D6100D" w:rsidRDefault="00D6100D" w:rsidP="00D726D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35 - 36</w:t>
      </w:r>
    </w:p>
  </w:footnote>
  <w:footnote w:id="12">
    <w:p w:rsidR="00253F78" w:rsidRPr="00253F78" w:rsidRDefault="00253F78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71</w:t>
      </w:r>
    </w:p>
  </w:footnote>
  <w:footnote w:id="13">
    <w:p w:rsidR="004E4F6C" w:rsidRPr="004E4F6C" w:rsidRDefault="004E4F6C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105-110</w:t>
      </w:r>
    </w:p>
  </w:footnote>
  <w:footnote w:id="14">
    <w:p w:rsidR="00881CE3" w:rsidRPr="00881CE3" w:rsidRDefault="00881CE3" w:rsidP="00881CE3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14 - 15</w:t>
      </w:r>
    </w:p>
  </w:footnote>
  <w:footnote w:id="15">
    <w:p w:rsidR="002A376D" w:rsidRPr="004443B6" w:rsidRDefault="002A376D" w:rsidP="004E4F6C">
      <w:pPr>
        <w:pStyle w:val="MOJEMINI"/>
      </w:pPr>
      <w:r w:rsidRPr="004443B6">
        <w:rPr>
          <w:rStyle w:val="Znakapoznpodarou"/>
          <w:szCs w:val="17"/>
        </w:rPr>
        <w:footnoteRef/>
      </w:r>
      <w:r w:rsidRPr="004443B6">
        <w:t xml:space="preserve"> PRUNNER, Pavel, </w:t>
      </w:r>
      <w:proofErr w:type="spellStart"/>
      <w:r w:rsidRPr="004443B6">
        <w:t>ref</w:t>
      </w:r>
      <w:proofErr w:type="spellEnd"/>
      <w:r w:rsidRPr="004443B6">
        <w:t>. 1, s. 12</w:t>
      </w:r>
    </w:p>
  </w:footnote>
  <w:footnote w:id="16">
    <w:p w:rsidR="00982D53" w:rsidRPr="00982D53" w:rsidRDefault="00982D53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98</w:t>
      </w:r>
    </w:p>
  </w:footnote>
  <w:footnote w:id="17">
    <w:p w:rsidR="004443B6" w:rsidRPr="004443B6" w:rsidRDefault="004443B6" w:rsidP="0043652A">
      <w:pPr>
        <w:pStyle w:val="MOJEMINI"/>
      </w:pPr>
      <w:r w:rsidRPr="004443B6">
        <w:rPr>
          <w:rStyle w:val="Znakapoznpodarou"/>
          <w:szCs w:val="17"/>
        </w:rPr>
        <w:footnoteRef/>
      </w:r>
      <w:r w:rsidRPr="004443B6">
        <w:t xml:space="preserve"> PRUNNER, Pavel, </w:t>
      </w:r>
      <w:proofErr w:type="spellStart"/>
      <w:r w:rsidRPr="004443B6">
        <w:t>ref</w:t>
      </w:r>
      <w:proofErr w:type="spellEnd"/>
      <w:r w:rsidRPr="004443B6">
        <w:t>. 1, s. 17</w:t>
      </w:r>
    </w:p>
  </w:footnote>
  <w:footnote w:id="18">
    <w:p w:rsidR="00783002" w:rsidRPr="00783002" w:rsidRDefault="00783002" w:rsidP="0043652A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96</w:t>
      </w:r>
    </w:p>
  </w:footnote>
  <w:footnote w:id="19">
    <w:p w:rsidR="00FA7154" w:rsidRPr="006E5C82" w:rsidRDefault="00FA7154" w:rsidP="00FA7154">
      <w:pPr>
        <w:pStyle w:val="MOJEMINI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1B64F1">
        <w:t xml:space="preserve">NEŠPOR, Karel a kol., </w:t>
      </w:r>
      <w:proofErr w:type="spellStart"/>
      <w:r w:rsidR="001B64F1">
        <w:t>ref</w:t>
      </w:r>
      <w:proofErr w:type="spellEnd"/>
      <w:r w:rsidR="001B64F1">
        <w:t xml:space="preserve">. 7, s. </w:t>
      </w:r>
      <w:r>
        <w:t xml:space="preserve">12 </w:t>
      </w:r>
    </w:p>
  </w:footnote>
  <w:footnote w:id="20">
    <w:p w:rsidR="00FA7154" w:rsidRPr="00FA7154" w:rsidRDefault="00FA7154" w:rsidP="00FA715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="001B64F1">
        <w:t xml:space="preserve">NEŠPOR, Karel a kol., </w:t>
      </w:r>
      <w:proofErr w:type="spellStart"/>
      <w:r w:rsidR="001B64F1">
        <w:t>ref</w:t>
      </w:r>
      <w:proofErr w:type="spellEnd"/>
      <w:r w:rsidR="001B64F1">
        <w:t>. 7</w:t>
      </w:r>
      <w:r>
        <w:t>, s. 13</w:t>
      </w:r>
    </w:p>
  </w:footnote>
  <w:footnote w:id="21">
    <w:p w:rsidR="00985F18" w:rsidRPr="00985F18" w:rsidRDefault="00985F18" w:rsidP="00985F18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72</w:t>
      </w:r>
    </w:p>
  </w:footnote>
  <w:footnote w:id="22">
    <w:p w:rsidR="00B55A4F" w:rsidRPr="00B55A4F" w:rsidRDefault="00B55A4F" w:rsidP="00B55A4F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88</w:t>
      </w:r>
    </w:p>
  </w:footnote>
  <w:footnote w:id="23">
    <w:p w:rsidR="001F674E" w:rsidRPr="001F674E" w:rsidRDefault="001F674E" w:rsidP="001F674E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88</w:t>
      </w:r>
    </w:p>
  </w:footnote>
  <w:footnote w:id="24">
    <w:p w:rsidR="00623685" w:rsidRPr="00623685" w:rsidRDefault="00623685" w:rsidP="0043652A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60</w:t>
      </w:r>
    </w:p>
  </w:footnote>
  <w:footnote w:id="25">
    <w:p w:rsidR="0043652A" w:rsidRPr="0043652A" w:rsidRDefault="0043652A" w:rsidP="0043652A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115</w:t>
      </w:r>
    </w:p>
  </w:footnote>
  <w:footnote w:id="26">
    <w:p w:rsidR="00255E2B" w:rsidRPr="00255E2B" w:rsidRDefault="00255E2B" w:rsidP="00255E2B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4443B6">
        <w:t xml:space="preserve">PRUNNER, Pavel, </w:t>
      </w:r>
      <w:proofErr w:type="spellStart"/>
      <w:r w:rsidRPr="004443B6">
        <w:t>ref</w:t>
      </w:r>
      <w:proofErr w:type="spellEnd"/>
      <w:r w:rsidRPr="004443B6">
        <w:t xml:space="preserve">. 1, s. </w:t>
      </w:r>
      <w:r>
        <w:t>76</w:t>
      </w:r>
      <w:r w:rsidR="0011179B">
        <w:t xml:space="preserve"> </w:t>
      </w:r>
      <w:r>
        <w:t>-</w:t>
      </w:r>
      <w:r w:rsidR="0011179B">
        <w:t xml:space="preserve"> </w:t>
      </w:r>
      <w:r>
        <w:t>77</w:t>
      </w:r>
    </w:p>
  </w:footnote>
  <w:footnote w:id="27">
    <w:p w:rsidR="00A00C61" w:rsidRPr="004E4F6C" w:rsidRDefault="00A00C61" w:rsidP="00A00C61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112</w:t>
      </w:r>
    </w:p>
  </w:footnote>
  <w:footnote w:id="28">
    <w:p w:rsidR="00A9362F" w:rsidRPr="00A9362F" w:rsidRDefault="00A9362F" w:rsidP="000561BD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153</w:t>
      </w:r>
    </w:p>
  </w:footnote>
  <w:footnote w:id="29">
    <w:p w:rsidR="00FA7154" w:rsidRPr="00FA7154" w:rsidRDefault="00FA7154" w:rsidP="00FA715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="001B64F1">
        <w:t xml:space="preserve">NEŠPOR, Karel a kol., </w:t>
      </w:r>
      <w:proofErr w:type="spellStart"/>
      <w:r w:rsidR="001B64F1">
        <w:t>ref</w:t>
      </w:r>
      <w:proofErr w:type="spellEnd"/>
      <w:r w:rsidR="001B64F1">
        <w:t>. 7</w:t>
      </w:r>
      <w:r>
        <w:t>, s. 13</w:t>
      </w:r>
    </w:p>
  </w:footnote>
  <w:footnote w:id="30">
    <w:p w:rsidR="006F2914" w:rsidRPr="006F2914" w:rsidRDefault="006F2914" w:rsidP="006F2914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19</w:t>
      </w:r>
    </w:p>
  </w:footnote>
  <w:footnote w:id="31">
    <w:p w:rsidR="009F524A" w:rsidRPr="009F524A" w:rsidRDefault="009F524A" w:rsidP="009F524A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19</w:t>
      </w:r>
      <w:r w:rsidR="0011179B">
        <w:t xml:space="preserve"> </w:t>
      </w:r>
      <w:r>
        <w:t>-</w:t>
      </w:r>
      <w:r w:rsidR="0011179B">
        <w:t xml:space="preserve"> </w:t>
      </w:r>
      <w:r>
        <w:t>20</w:t>
      </w:r>
    </w:p>
  </w:footnote>
  <w:footnote w:id="32">
    <w:p w:rsidR="00925F96" w:rsidRPr="00925F96" w:rsidRDefault="00925F96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19</w:t>
      </w:r>
    </w:p>
  </w:footnote>
  <w:footnote w:id="33">
    <w:p w:rsidR="00A00C61" w:rsidRPr="00A26093" w:rsidRDefault="00A00C61" w:rsidP="00A00C61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115</w:t>
      </w:r>
    </w:p>
  </w:footnote>
  <w:footnote w:id="34">
    <w:p w:rsidR="004062D7" w:rsidRPr="004062D7" w:rsidRDefault="004062D7" w:rsidP="004062D7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117</w:t>
      </w:r>
    </w:p>
  </w:footnote>
  <w:footnote w:id="35">
    <w:p w:rsidR="00DB239D" w:rsidRPr="00DB239D" w:rsidRDefault="00DB239D" w:rsidP="00DB239D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124</w:t>
      </w:r>
    </w:p>
  </w:footnote>
  <w:footnote w:id="36">
    <w:p w:rsidR="00FA7EDF" w:rsidRPr="00FA7EDF" w:rsidRDefault="00FA7EDF" w:rsidP="00FA7EDF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="001B64F1">
        <w:t xml:space="preserve">NEŠPOR, Karel a kol., </w:t>
      </w:r>
      <w:proofErr w:type="spellStart"/>
      <w:r w:rsidR="001B64F1">
        <w:t>ref</w:t>
      </w:r>
      <w:proofErr w:type="spellEnd"/>
      <w:r w:rsidR="001B64F1">
        <w:t>. 7</w:t>
      </w:r>
      <w:r>
        <w:t>, s. 14</w:t>
      </w:r>
    </w:p>
  </w:footnote>
  <w:footnote w:id="37">
    <w:p w:rsidR="0011179B" w:rsidRPr="0011179B" w:rsidRDefault="0011179B" w:rsidP="0011179B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108 - 109</w:t>
      </w:r>
    </w:p>
  </w:footnote>
  <w:footnote w:id="38">
    <w:p w:rsidR="001545ED" w:rsidRPr="001545ED" w:rsidRDefault="001545ED" w:rsidP="001545ED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111</w:t>
      </w:r>
    </w:p>
  </w:footnote>
  <w:footnote w:id="39">
    <w:p w:rsidR="005B267C" w:rsidRPr="005B267C" w:rsidRDefault="005B267C" w:rsidP="005B267C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120</w:t>
      </w:r>
    </w:p>
  </w:footnote>
  <w:footnote w:id="40">
    <w:p w:rsidR="00243863" w:rsidRPr="00243863" w:rsidRDefault="00243863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79</w:t>
      </w:r>
    </w:p>
  </w:footnote>
  <w:footnote w:id="41">
    <w:p w:rsidR="009062A2" w:rsidRPr="009062A2" w:rsidRDefault="009062A2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80</w:t>
      </w:r>
      <w:r w:rsidR="0011179B">
        <w:t xml:space="preserve"> </w:t>
      </w:r>
      <w:r>
        <w:t>-</w:t>
      </w:r>
      <w:r w:rsidR="0011179B">
        <w:t xml:space="preserve"> </w:t>
      </w:r>
      <w:r>
        <w:t>81</w:t>
      </w:r>
    </w:p>
  </w:footnote>
  <w:footnote w:id="42">
    <w:p w:rsidR="003D7A50" w:rsidRPr="003D7A50" w:rsidRDefault="003D7A50" w:rsidP="004E4F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85</w:t>
      </w:r>
    </w:p>
  </w:footnote>
  <w:footnote w:id="43">
    <w:p w:rsidR="00193349" w:rsidRPr="00193349" w:rsidRDefault="00193349" w:rsidP="00193349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21 - 22</w:t>
      </w:r>
    </w:p>
  </w:footnote>
  <w:footnote w:id="44">
    <w:p w:rsidR="00EC7BE9" w:rsidRDefault="00EC7BE9" w:rsidP="00243863">
      <w:pPr>
        <w:pStyle w:val="MOJEMINI"/>
      </w:pPr>
      <w:r w:rsidRPr="00DD420D">
        <w:rPr>
          <w:rStyle w:val="Znakapoznpodarou"/>
          <w:sz w:val="18"/>
          <w:szCs w:val="18"/>
        </w:rPr>
        <w:footnoteRef/>
      </w:r>
      <w:r w:rsidRPr="00DD420D">
        <w:t xml:space="preserve"> PRUNNER, Pavel, </w:t>
      </w:r>
      <w:proofErr w:type="spellStart"/>
      <w:r w:rsidRPr="00DD420D">
        <w:t>ref</w:t>
      </w:r>
      <w:proofErr w:type="spellEnd"/>
      <w:r w:rsidRPr="00DD420D">
        <w:t>. 1, s. 9</w:t>
      </w:r>
      <w:r>
        <w:tab/>
        <w:t xml:space="preserve"> </w:t>
      </w:r>
    </w:p>
  </w:footnote>
  <w:footnote w:id="45">
    <w:p w:rsidR="004F6D6C" w:rsidRPr="004F6D6C" w:rsidRDefault="004F6D6C" w:rsidP="004F6D6C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49</w:t>
      </w:r>
    </w:p>
  </w:footnote>
  <w:footnote w:id="46">
    <w:p w:rsidR="00E95277" w:rsidRPr="00E95277" w:rsidRDefault="00E95277" w:rsidP="00E95277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199</w:t>
      </w:r>
    </w:p>
  </w:footnote>
  <w:footnote w:id="47">
    <w:p w:rsidR="0085400A" w:rsidRPr="0085400A" w:rsidRDefault="0085400A" w:rsidP="0085400A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186</w:t>
      </w:r>
    </w:p>
  </w:footnote>
  <w:footnote w:id="48">
    <w:p w:rsidR="00CC0E3C" w:rsidRPr="00CC0E3C" w:rsidRDefault="00CC0E3C" w:rsidP="002E7A58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187</w:t>
      </w:r>
    </w:p>
  </w:footnote>
  <w:footnote w:id="49">
    <w:p w:rsidR="00BD2B24" w:rsidRPr="00BD2B24" w:rsidRDefault="00BD2B24" w:rsidP="00BD2B24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200</w:t>
      </w:r>
    </w:p>
  </w:footnote>
  <w:footnote w:id="50">
    <w:p w:rsidR="00AC7D55" w:rsidRPr="00AC7D55" w:rsidRDefault="00AC7D55" w:rsidP="00AC7D55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74</w:t>
      </w:r>
    </w:p>
  </w:footnote>
  <w:footnote w:id="51">
    <w:p w:rsidR="001F674E" w:rsidRPr="001F674E" w:rsidRDefault="001F674E" w:rsidP="001F674E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88</w:t>
      </w:r>
    </w:p>
  </w:footnote>
  <w:footnote w:id="52">
    <w:p w:rsidR="00E67F78" w:rsidRPr="00E67F78" w:rsidRDefault="00E67F78" w:rsidP="00E67F78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91</w:t>
      </w:r>
    </w:p>
  </w:footnote>
  <w:footnote w:id="53">
    <w:p w:rsidR="000561BD" w:rsidRPr="000561BD" w:rsidRDefault="000561BD" w:rsidP="000561BD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185</w:t>
      </w:r>
    </w:p>
  </w:footnote>
  <w:footnote w:id="54">
    <w:p w:rsidR="009E5CC1" w:rsidRPr="009E5CC1" w:rsidRDefault="009E5CC1" w:rsidP="009E5CC1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195-197</w:t>
      </w:r>
    </w:p>
  </w:footnote>
  <w:footnote w:id="55">
    <w:p w:rsidR="003E6D4A" w:rsidRPr="003E6D4A" w:rsidRDefault="003E6D4A" w:rsidP="003E6D4A">
      <w:pPr>
        <w:pStyle w:val="MOJEMINI"/>
      </w:pPr>
      <w:r>
        <w:rPr>
          <w:rStyle w:val="Znakapoznpodarou"/>
        </w:rPr>
        <w:footnoteRef/>
      </w:r>
      <w:r>
        <w:t xml:space="preserve"> </w:t>
      </w:r>
      <w:r w:rsidRPr="00DD420D">
        <w:t>PRUNNER</w:t>
      </w:r>
      <w:r>
        <w:t xml:space="preserve">, Pavel, </w:t>
      </w:r>
      <w:proofErr w:type="spellStart"/>
      <w:r>
        <w:t>ref</w:t>
      </w:r>
      <w:proofErr w:type="spellEnd"/>
      <w:r>
        <w:t>. 1, s. 200</w:t>
      </w:r>
    </w:p>
  </w:footnote>
  <w:footnote w:id="56">
    <w:p w:rsidR="00FA5E9E" w:rsidRPr="00FA5E9E" w:rsidRDefault="00FA5E9E" w:rsidP="00FA5E9E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24 - 25</w:t>
      </w:r>
    </w:p>
  </w:footnote>
  <w:footnote w:id="57">
    <w:p w:rsidR="00DF6E7A" w:rsidRPr="00DF6E7A" w:rsidRDefault="00DF6E7A" w:rsidP="00DF6E7A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30</w:t>
      </w:r>
    </w:p>
  </w:footnote>
  <w:footnote w:id="58">
    <w:p w:rsidR="00C314F3" w:rsidRPr="00C314F3" w:rsidRDefault="00C314F3" w:rsidP="00C314F3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46</w:t>
      </w:r>
    </w:p>
  </w:footnote>
  <w:footnote w:id="59">
    <w:p w:rsidR="001E33D8" w:rsidRPr="001E33D8" w:rsidRDefault="001E33D8" w:rsidP="001E33D8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48</w:t>
      </w:r>
    </w:p>
  </w:footnote>
  <w:footnote w:id="60">
    <w:p w:rsidR="00095121" w:rsidRPr="00095121" w:rsidRDefault="00095121" w:rsidP="00095121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53</w:t>
      </w:r>
    </w:p>
  </w:footnote>
  <w:footnote w:id="61">
    <w:p w:rsidR="000B123A" w:rsidRPr="000B123A" w:rsidRDefault="000B123A" w:rsidP="000B123A">
      <w:pPr>
        <w:pStyle w:val="MOJEMINI"/>
      </w:pPr>
      <w:r>
        <w:rPr>
          <w:rStyle w:val="Znakapoznpodarou"/>
        </w:rPr>
        <w:footnoteRef/>
      </w:r>
      <w:r>
        <w:t xml:space="preserve"> NEŠPOR, Karel a kol., </w:t>
      </w:r>
      <w:proofErr w:type="spellStart"/>
      <w:r>
        <w:t>ref</w:t>
      </w:r>
      <w:proofErr w:type="spellEnd"/>
      <w:r>
        <w:t>. 7, s. 58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D9" w:rsidRPr="008A3AA8" w:rsidRDefault="006E464C" w:rsidP="00A37710">
    <w:pPr>
      <w:pStyle w:val="Zhlav"/>
      <w:jc w:val="right"/>
      <w:rPr>
        <w:rFonts w:ascii="Times New Roman" w:hAnsi="Times New Roman"/>
        <w:sz w:val="24"/>
        <w:szCs w:val="24"/>
        <w:lang w:val="cs-CZ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F9" w:rsidRPr="009758F9" w:rsidRDefault="009758F9" w:rsidP="009758F9">
    <w:pPr>
      <w:pStyle w:val="Zhlav"/>
      <w:jc w:val="right"/>
      <w:rPr>
        <w:rFonts w:ascii="Times New Roman" w:hAnsi="Times New Roman"/>
        <w:b/>
        <w:i/>
        <w:sz w:val="24"/>
        <w:szCs w:val="28"/>
        <w:lang w:val="cs-CZ"/>
      </w:rPr>
    </w:pPr>
    <w:r w:rsidRPr="009758F9">
      <w:rPr>
        <w:rFonts w:ascii="Times New Roman" w:hAnsi="Times New Roman"/>
        <w:b/>
        <w:i/>
        <w:sz w:val="24"/>
        <w:szCs w:val="28"/>
        <w:lang w:val="cs-CZ"/>
      </w:rPr>
      <w:t>Jazykový projev</w:t>
    </w:r>
  </w:p>
  <w:p w:rsidR="009758F9" w:rsidRPr="009758F9" w:rsidRDefault="009758F9" w:rsidP="009758F9">
    <w:pPr>
      <w:pStyle w:val="Zhlav"/>
      <w:jc w:val="right"/>
      <w:rPr>
        <w:rFonts w:ascii="Times New Roman" w:hAnsi="Times New Roman"/>
        <w:i/>
        <w:sz w:val="24"/>
        <w:lang w:val="cs-CZ"/>
      </w:rPr>
    </w:pPr>
    <w:r w:rsidRPr="009758F9">
      <w:rPr>
        <w:rFonts w:ascii="Times New Roman" w:hAnsi="Times New Roman"/>
        <w:i/>
        <w:sz w:val="24"/>
        <w:lang w:val="cs-CZ"/>
      </w:rPr>
      <w:t xml:space="preserve">Lenka Hadincová, </w:t>
    </w:r>
    <w:proofErr w:type="spellStart"/>
    <w:r w:rsidRPr="009758F9">
      <w:rPr>
        <w:rFonts w:ascii="Times New Roman" w:hAnsi="Times New Roman"/>
        <w:i/>
        <w:sz w:val="24"/>
        <w:lang w:val="cs-CZ"/>
      </w:rPr>
      <w:t>DiS</w:t>
    </w:r>
    <w:proofErr w:type="spellEnd"/>
    <w:r w:rsidRPr="009758F9">
      <w:rPr>
        <w:rFonts w:ascii="Times New Roman" w:hAnsi="Times New Roman"/>
        <w:i/>
        <w:sz w:val="24"/>
        <w:lang w:val="cs-CZ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8C2"/>
    <w:multiLevelType w:val="hybridMultilevel"/>
    <w:tmpl w:val="C7EE6E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E80F96"/>
    <w:multiLevelType w:val="hybridMultilevel"/>
    <w:tmpl w:val="54B4F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7776"/>
    <w:multiLevelType w:val="hybridMultilevel"/>
    <w:tmpl w:val="59AC78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A35199"/>
    <w:multiLevelType w:val="hybridMultilevel"/>
    <w:tmpl w:val="443AECD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5D0141"/>
    <w:multiLevelType w:val="hybridMultilevel"/>
    <w:tmpl w:val="839C6A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02304E"/>
    <w:multiLevelType w:val="hybridMultilevel"/>
    <w:tmpl w:val="C4CAEB0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5E702C"/>
    <w:multiLevelType w:val="hybridMultilevel"/>
    <w:tmpl w:val="522A8E3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612B3D"/>
    <w:multiLevelType w:val="hybridMultilevel"/>
    <w:tmpl w:val="FB9E5FB6"/>
    <w:lvl w:ilvl="0" w:tplc="F5C4E8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14D34"/>
    <w:multiLevelType w:val="hybridMultilevel"/>
    <w:tmpl w:val="D2CEB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01C83"/>
    <w:multiLevelType w:val="hybridMultilevel"/>
    <w:tmpl w:val="18668298"/>
    <w:lvl w:ilvl="0" w:tplc="5EAA1C82">
      <w:start w:val="200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12169"/>
    <w:multiLevelType w:val="hybridMultilevel"/>
    <w:tmpl w:val="E500B9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07B50"/>
    <w:multiLevelType w:val="hybridMultilevel"/>
    <w:tmpl w:val="DA70A1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2418CD"/>
    <w:multiLevelType w:val="hybridMultilevel"/>
    <w:tmpl w:val="283006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3164AA"/>
    <w:multiLevelType w:val="hybridMultilevel"/>
    <w:tmpl w:val="48E4CF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557F19"/>
    <w:multiLevelType w:val="hybridMultilevel"/>
    <w:tmpl w:val="BDC60E02"/>
    <w:lvl w:ilvl="0" w:tplc="D86E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AA0F57"/>
    <w:multiLevelType w:val="hybridMultilevel"/>
    <w:tmpl w:val="81A63220"/>
    <w:lvl w:ilvl="0" w:tplc="96DAD644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94564C"/>
    <w:multiLevelType w:val="hybridMultilevel"/>
    <w:tmpl w:val="E1F4040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BD0363"/>
    <w:multiLevelType w:val="hybridMultilevel"/>
    <w:tmpl w:val="82603C0E"/>
    <w:lvl w:ilvl="0" w:tplc="8E24868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000C3"/>
    <w:multiLevelType w:val="hybridMultilevel"/>
    <w:tmpl w:val="CF962C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571204"/>
    <w:multiLevelType w:val="hybridMultilevel"/>
    <w:tmpl w:val="B2BC82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AE5521"/>
    <w:multiLevelType w:val="hybridMultilevel"/>
    <w:tmpl w:val="5440A8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F4018"/>
    <w:multiLevelType w:val="hybridMultilevel"/>
    <w:tmpl w:val="1E76E37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7802FC1"/>
    <w:multiLevelType w:val="hybridMultilevel"/>
    <w:tmpl w:val="9280C7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96B643A"/>
    <w:multiLevelType w:val="hybridMultilevel"/>
    <w:tmpl w:val="8026D09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852AAC"/>
    <w:multiLevelType w:val="hybridMultilevel"/>
    <w:tmpl w:val="E838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04DEF"/>
    <w:multiLevelType w:val="hybridMultilevel"/>
    <w:tmpl w:val="F920F8E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D36E6D"/>
    <w:multiLevelType w:val="hybridMultilevel"/>
    <w:tmpl w:val="26C6F0AC"/>
    <w:lvl w:ilvl="0" w:tplc="7E88B482">
      <w:start w:val="1"/>
      <w:numFmt w:val="decimal"/>
      <w:pStyle w:val="KAPITOLYH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52B4D"/>
    <w:multiLevelType w:val="hybridMultilevel"/>
    <w:tmpl w:val="C8FAAE6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75A68FA"/>
    <w:multiLevelType w:val="hybridMultilevel"/>
    <w:tmpl w:val="0474106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F87205"/>
    <w:multiLevelType w:val="hybridMultilevel"/>
    <w:tmpl w:val="D3AE7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D42BB8"/>
    <w:multiLevelType w:val="hybridMultilevel"/>
    <w:tmpl w:val="FFB699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5F2F65"/>
    <w:multiLevelType w:val="hybridMultilevel"/>
    <w:tmpl w:val="434E6E4C"/>
    <w:lvl w:ilvl="0" w:tplc="F6D87C2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060A11"/>
    <w:multiLevelType w:val="hybridMultilevel"/>
    <w:tmpl w:val="DF240D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1A7397"/>
    <w:multiLevelType w:val="hybridMultilevel"/>
    <w:tmpl w:val="6966E0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65045F0"/>
    <w:multiLevelType w:val="hybridMultilevel"/>
    <w:tmpl w:val="93E423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7BC5F03"/>
    <w:multiLevelType w:val="multilevel"/>
    <w:tmpl w:val="BDC60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E2036A"/>
    <w:multiLevelType w:val="hybridMultilevel"/>
    <w:tmpl w:val="3C283D8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BB1361"/>
    <w:multiLevelType w:val="hybridMultilevel"/>
    <w:tmpl w:val="300A6D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D92097"/>
    <w:multiLevelType w:val="hybridMultilevel"/>
    <w:tmpl w:val="EE72503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4C5135"/>
    <w:multiLevelType w:val="hybridMultilevel"/>
    <w:tmpl w:val="4B520C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CB71F9"/>
    <w:multiLevelType w:val="hybridMultilevel"/>
    <w:tmpl w:val="3EA0049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FB4116C"/>
    <w:multiLevelType w:val="hybridMultilevel"/>
    <w:tmpl w:val="24367F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05F2CF8"/>
    <w:multiLevelType w:val="hybridMultilevel"/>
    <w:tmpl w:val="D8DE554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6B25D88"/>
    <w:multiLevelType w:val="hybridMultilevel"/>
    <w:tmpl w:val="0DC6C5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96044D"/>
    <w:multiLevelType w:val="hybridMultilevel"/>
    <w:tmpl w:val="6D1A08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EB3D66"/>
    <w:multiLevelType w:val="hybridMultilevel"/>
    <w:tmpl w:val="7032B15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082562"/>
    <w:multiLevelType w:val="hybridMultilevel"/>
    <w:tmpl w:val="9D96346C"/>
    <w:lvl w:ilvl="0" w:tplc="08F893A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E0747"/>
    <w:multiLevelType w:val="hybridMultilevel"/>
    <w:tmpl w:val="A1BC5B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9B0981"/>
    <w:multiLevelType w:val="hybridMultilevel"/>
    <w:tmpl w:val="833277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EAF51C4"/>
    <w:multiLevelType w:val="hybridMultilevel"/>
    <w:tmpl w:val="211A5A2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4"/>
  </w:num>
  <w:num w:numId="5">
    <w:abstractNumId w:val="0"/>
  </w:num>
  <w:num w:numId="6">
    <w:abstractNumId w:val="37"/>
  </w:num>
  <w:num w:numId="7">
    <w:abstractNumId w:val="32"/>
  </w:num>
  <w:num w:numId="8">
    <w:abstractNumId w:val="34"/>
  </w:num>
  <w:num w:numId="9">
    <w:abstractNumId w:val="47"/>
  </w:num>
  <w:num w:numId="10">
    <w:abstractNumId w:val="2"/>
  </w:num>
  <w:num w:numId="11">
    <w:abstractNumId w:val="16"/>
  </w:num>
  <w:num w:numId="12">
    <w:abstractNumId w:val="13"/>
  </w:num>
  <w:num w:numId="13">
    <w:abstractNumId w:val="22"/>
  </w:num>
  <w:num w:numId="14">
    <w:abstractNumId w:val="28"/>
  </w:num>
  <w:num w:numId="15">
    <w:abstractNumId w:val="38"/>
  </w:num>
  <w:num w:numId="16">
    <w:abstractNumId w:val="30"/>
  </w:num>
  <w:num w:numId="17">
    <w:abstractNumId w:val="27"/>
  </w:num>
  <w:num w:numId="18">
    <w:abstractNumId w:val="49"/>
  </w:num>
  <w:num w:numId="19">
    <w:abstractNumId w:val="10"/>
  </w:num>
  <w:num w:numId="20">
    <w:abstractNumId w:val="40"/>
  </w:num>
  <w:num w:numId="21">
    <w:abstractNumId w:val="48"/>
  </w:num>
  <w:num w:numId="22">
    <w:abstractNumId w:val="12"/>
  </w:num>
  <w:num w:numId="23">
    <w:abstractNumId w:val="45"/>
  </w:num>
  <w:num w:numId="24">
    <w:abstractNumId w:val="42"/>
  </w:num>
  <w:num w:numId="25">
    <w:abstractNumId w:val="41"/>
  </w:num>
  <w:num w:numId="26">
    <w:abstractNumId w:val="6"/>
  </w:num>
  <w:num w:numId="27">
    <w:abstractNumId w:val="43"/>
  </w:num>
  <w:num w:numId="28">
    <w:abstractNumId w:val="20"/>
  </w:num>
  <w:num w:numId="29">
    <w:abstractNumId w:val="5"/>
  </w:num>
  <w:num w:numId="30">
    <w:abstractNumId w:val="44"/>
  </w:num>
  <w:num w:numId="31">
    <w:abstractNumId w:val="11"/>
  </w:num>
  <w:num w:numId="32">
    <w:abstractNumId w:val="25"/>
  </w:num>
  <w:num w:numId="33">
    <w:abstractNumId w:val="39"/>
  </w:num>
  <w:num w:numId="34">
    <w:abstractNumId w:val="23"/>
  </w:num>
  <w:num w:numId="35">
    <w:abstractNumId w:val="33"/>
  </w:num>
  <w:num w:numId="36">
    <w:abstractNumId w:val="36"/>
  </w:num>
  <w:num w:numId="37">
    <w:abstractNumId w:val="4"/>
  </w:num>
  <w:num w:numId="38">
    <w:abstractNumId w:val="29"/>
  </w:num>
  <w:num w:numId="39">
    <w:abstractNumId w:val="19"/>
  </w:num>
  <w:num w:numId="40">
    <w:abstractNumId w:val="18"/>
  </w:num>
  <w:num w:numId="41">
    <w:abstractNumId w:val="1"/>
  </w:num>
  <w:num w:numId="42">
    <w:abstractNumId w:val="3"/>
  </w:num>
  <w:num w:numId="43">
    <w:abstractNumId w:val="21"/>
  </w:num>
  <w:num w:numId="44">
    <w:abstractNumId w:val="17"/>
  </w:num>
  <w:num w:numId="45">
    <w:abstractNumId w:val="35"/>
  </w:num>
  <w:num w:numId="46">
    <w:abstractNumId w:val="7"/>
  </w:num>
  <w:num w:numId="47">
    <w:abstractNumId w:val="31"/>
  </w:num>
  <w:num w:numId="48">
    <w:abstractNumId w:val="26"/>
  </w:num>
  <w:num w:numId="49">
    <w:abstractNumId w:val="46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BE9"/>
    <w:rsid w:val="0000558A"/>
    <w:rsid w:val="000561BD"/>
    <w:rsid w:val="00095121"/>
    <w:rsid w:val="000A5424"/>
    <w:rsid w:val="000B0CC6"/>
    <w:rsid w:val="000B123A"/>
    <w:rsid w:val="0011179B"/>
    <w:rsid w:val="0013280F"/>
    <w:rsid w:val="001545ED"/>
    <w:rsid w:val="00177393"/>
    <w:rsid w:val="00193349"/>
    <w:rsid w:val="001A517F"/>
    <w:rsid w:val="001B64F1"/>
    <w:rsid w:val="001C6DBD"/>
    <w:rsid w:val="001E33D8"/>
    <w:rsid w:val="001F674E"/>
    <w:rsid w:val="00243863"/>
    <w:rsid w:val="00253F78"/>
    <w:rsid w:val="00255E2B"/>
    <w:rsid w:val="00284E01"/>
    <w:rsid w:val="00286C1B"/>
    <w:rsid w:val="002946A0"/>
    <w:rsid w:val="002A376D"/>
    <w:rsid w:val="002E7A58"/>
    <w:rsid w:val="003079B1"/>
    <w:rsid w:val="00334498"/>
    <w:rsid w:val="003B5265"/>
    <w:rsid w:val="003C31DF"/>
    <w:rsid w:val="003C666C"/>
    <w:rsid w:val="003D7A50"/>
    <w:rsid w:val="003E6D4A"/>
    <w:rsid w:val="003F62FB"/>
    <w:rsid w:val="004062D7"/>
    <w:rsid w:val="004303A2"/>
    <w:rsid w:val="004330D5"/>
    <w:rsid w:val="0043652A"/>
    <w:rsid w:val="004443B6"/>
    <w:rsid w:val="00466670"/>
    <w:rsid w:val="00485725"/>
    <w:rsid w:val="004D05F2"/>
    <w:rsid w:val="004E4F6C"/>
    <w:rsid w:val="004F6D6C"/>
    <w:rsid w:val="004F7D9B"/>
    <w:rsid w:val="0050017D"/>
    <w:rsid w:val="005256F2"/>
    <w:rsid w:val="005477BC"/>
    <w:rsid w:val="00562F8A"/>
    <w:rsid w:val="005A619D"/>
    <w:rsid w:val="005B267C"/>
    <w:rsid w:val="005D5FA6"/>
    <w:rsid w:val="00623685"/>
    <w:rsid w:val="00625EAC"/>
    <w:rsid w:val="00630A0D"/>
    <w:rsid w:val="00643189"/>
    <w:rsid w:val="006552CE"/>
    <w:rsid w:val="00686104"/>
    <w:rsid w:val="00687972"/>
    <w:rsid w:val="0069444E"/>
    <w:rsid w:val="006B1951"/>
    <w:rsid w:val="006B605F"/>
    <w:rsid w:val="006E464C"/>
    <w:rsid w:val="006E5C82"/>
    <w:rsid w:val="006F2914"/>
    <w:rsid w:val="006F7930"/>
    <w:rsid w:val="00720D6A"/>
    <w:rsid w:val="00724460"/>
    <w:rsid w:val="00741117"/>
    <w:rsid w:val="00783002"/>
    <w:rsid w:val="00785FA3"/>
    <w:rsid w:val="007B1CF5"/>
    <w:rsid w:val="007E01F0"/>
    <w:rsid w:val="00807D19"/>
    <w:rsid w:val="0085400A"/>
    <w:rsid w:val="00881CE3"/>
    <w:rsid w:val="008D31F6"/>
    <w:rsid w:val="008F620B"/>
    <w:rsid w:val="009062A2"/>
    <w:rsid w:val="00907EE5"/>
    <w:rsid w:val="00925F96"/>
    <w:rsid w:val="00932928"/>
    <w:rsid w:val="00964F83"/>
    <w:rsid w:val="009758F9"/>
    <w:rsid w:val="00982D53"/>
    <w:rsid w:val="00985F18"/>
    <w:rsid w:val="00986263"/>
    <w:rsid w:val="009B3034"/>
    <w:rsid w:val="009B7D5D"/>
    <w:rsid w:val="009C5A4E"/>
    <w:rsid w:val="009E5CC1"/>
    <w:rsid w:val="009F524A"/>
    <w:rsid w:val="00A00C61"/>
    <w:rsid w:val="00A26093"/>
    <w:rsid w:val="00A2738B"/>
    <w:rsid w:val="00A80853"/>
    <w:rsid w:val="00A9362F"/>
    <w:rsid w:val="00AC7D55"/>
    <w:rsid w:val="00AD7021"/>
    <w:rsid w:val="00B17F93"/>
    <w:rsid w:val="00B4051F"/>
    <w:rsid w:val="00B55A4F"/>
    <w:rsid w:val="00BD2B24"/>
    <w:rsid w:val="00BF3B0D"/>
    <w:rsid w:val="00C071DB"/>
    <w:rsid w:val="00C13452"/>
    <w:rsid w:val="00C314F3"/>
    <w:rsid w:val="00C33A94"/>
    <w:rsid w:val="00C572B8"/>
    <w:rsid w:val="00C83C71"/>
    <w:rsid w:val="00CA472F"/>
    <w:rsid w:val="00CB60F9"/>
    <w:rsid w:val="00CC0E3C"/>
    <w:rsid w:val="00CC3664"/>
    <w:rsid w:val="00CC38E1"/>
    <w:rsid w:val="00CC6BED"/>
    <w:rsid w:val="00D36740"/>
    <w:rsid w:val="00D47DEA"/>
    <w:rsid w:val="00D6100D"/>
    <w:rsid w:val="00D726D4"/>
    <w:rsid w:val="00DB239D"/>
    <w:rsid w:val="00DC1AB5"/>
    <w:rsid w:val="00DD420D"/>
    <w:rsid w:val="00DF4746"/>
    <w:rsid w:val="00DF6E7A"/>
    <w:rsid w:val="00E5269D"/>
    <w:rsid w:val="00E553D7"/>
    <w:rsid w:val="00E56755"/>
    <w:rsid w:val="00E67F78"/>
    <w:rsid w:val="00E95277"/>
    <w:rsid w:val="00EC7BE9"/>
    <w:rsid w:val="00EF38D0"/>
    <w:rsid w:val="00F41679"/>
    <w:rsid w:val="00F435D5"/>
    <w:rsid w:val="00F80ED8"/>
    <w:rsid w:val="00F9005C"/>
    <w:rsid w:val="00F91F1D"/>
    <w:rsid w:val="00F92D88"/>
    <w:rsid w:val="00FA5E9E"/>
    <w:rsid w:val="00FA7154"/>
    <w:rsid w:val="00FA7EDF"/>
    <w:rsid w:val="00FC26A7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BE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C7B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EC7B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uiPriority w:val="9"/>
    <w:qFormat/>
    <w:rsid w:val="00EC7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BE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Nadpis2Char">
    <w:name w:val="Nadpis 2 Char"/>
    <w:basedOn w:val="Standardnpsmoodstavce"/>
    <w:link w:val="Nadpis2"/>
    <w:uiPriority w:val="9"/>
    <w:rsid w:val="00EC7BE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Nadpis3Char">
    <w:name w:val="Nadpis 3 Char"/>
    <w:basedOn w:val="Standardnpsmoodstavce"/>
    <w:link w:val="Nadpis3"/>
    <w:uiPriority w:val="9"/>
    <w:rsid w:val="00EC7BE9"/>
    <w:rPr>
      <w:rFonts w:ascii="Cambria" w:eastAsia="Times New Roman" w:hAnsi="Cambria" w:cs="Times New Roman"/>
      <w:b/>
      <w:bCs/>
      <w:sz w:val="26"/>
      <w:szCs w:val="26"/>
      <w:lang/>
    </w:rPr>
  </w:style>
  <w:style w:type="paragraph" w:customStyle="1" w:styleId="MUJTEXT">
    <w:name w:val="MUJ TEXT"/>
    <w:basedOn w:val="Normln"/>
    <w:uiPriority w:val="99"/>
    <w:rsid w:val="002A376D"/>
    <w:pPr>
      <w:spacing w:after="240" w:line="360" w:lineRule="auto"/>
      <w:ind w:firstLine="567"/>
      <w:jc w:val="both"/>
    </w:pPr>
    <w:rPr>
      <w:rFonts w:ascii="Times New Roman" w:hAnsi="Times New Roman"/>
      <w:sz w:val="20"/>
    </w:rPr>
  </w:style>
  <w:style w:type="paragraph" w:customStyle="1" w:styleId="MUJHLAVNINADPIS">
    <w:name w:val="MUJ HLAVNI NADPIS"/>
    <w:basedOn w:val="MUJTEXT"/>
    <w:uiPriority w:val="99"/>
    <w:rsid w:val="00EC7BE9"/>
    <w:pPr>
      <w:keepNext/>
      <w:ind w:firstLine="0"/>
      <w:jc w:val="left"/>
    </w:pPr>
    <w:rPr>
      <w:b/>
      <w:sz w:val="40"/>
    </w:rPr>
  </w:style>
  <w:style w:type="paragraph" w:customStyle="1" w:styleId="MUJKAPITOLY">
    <w:name w:val="MUJ KAPITOLY"/>
    <w:basedOn w:val="Normln"/>
    <w:uiPriority w:val="99"/>
    <w:rsid w:val="00EC7BE9"/>
    <w:pPr>
      <w:keepNext/>
      <w:spacing w:after="240" w:line="360" w:lineRule="auto"/>
    </w:pPr>
    <w:rPr>
      <w:rFonts w:ascii="Times New Roman" w:hAnsi="Times New Roman"/>
      <w:b/>
      <w:sz w:val="36"/>
    </w:rPr>
  </w:style>
  <w:style w:type="character" w:styleId="Hypertextovodkaz">
    <w:name w:val="Hyperlink"/>
    <w:uiPriority w:val="99"/>
    <w:rsid w:val="00EC7BE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EC7B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C7BE9"/>
    <w:rPr>
      <w:rFonts w:ascii="Calibri" w:eastAsia="Calibri" w:hAnsi="Calibri" w:cs="Times New Roman"/>
      <w:sz w:val="20"/>
      <w:szCs w:val="20"/>
      <w:lang/>
    </w:rPr>
  </w:style>
  <w:style w:type="paragraph" w:styleId="Zpat">
    <w:name w:val="footer"/>
    <w:basedOn w:val="Normln"/>
    <w:link w:val="ZpatChar"/>
    <w:uiPriority w:val="99"/>
    <w:rsid w:val="00EC7B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ZpatChar">
    <w:name w:val="Zápatí Char"/>
    <w:basedOn w:val="Standardnpsmoodstavce"/>
    <w:link w:val="Zpat"/>
    <w:uiPriority w:val="99"/>
    <w:rsid w:val="00EC7BE9"/>
    <w:rPr>
      <w:rFonts w:ascii="Calibri" w:eastAsia="Calibri" w:hAnsi="Calibri" w:cs="Times New Roman"/>
      <w:sz w:val="20"/>
      <w:szCs w:val="20"/>
      <w:lang/>
    </w:rPr>
  </w:style>
  <w:style w:type="paragraph" w:styleId="Obsah1">
    <w:name w:val="toc 1"/>
    <w:basedOn w:val="Normln"/>
    <w:next w:val="Normln"/>
    <w:autoRedefine/>
    <w:uiPriority w:val="39"/>
    <w:rsid w:val="00EC7BE9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EC7BE9"/>
    <w:pPr>
      <w:spacing w:before="240" w:after="0"/>
    </w:pPr>
    <w:rPr>
      <w:b/>
      <w:bCs/>
      <w:sz w:val="20"/>
      <w:szCs w:val="20"/>
    </w:rPr>
  </w:style>
  <w:style w:type="paragraph" w:customStyle="1" w:styleId="MUJPODNADPIS">
    <w:name w:val="MUJ PODNADPIS"/>
    <w:basedOn w:val="MUJTEXT"/>
    <w:qFormat/>
    <w:rsid w:val="00EC7BE9"/>
    <w:pPr>
      <w:keepNext/>
      <w:ind w:firstLine="0"/>
      <w:jc w:val="left"/>
    </w:pPr>
    <w:rPr>
      <w:rFonts w:cs="Times New Roman,Bold"/>
      <w:b/>
      <w:bCs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C7BE9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C7BE9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C7BE9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C7BE9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C7BE9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C7BE9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C7BE9"/>
    <w:pPr>
      <w:spacing w:after="0"/>
      <w:ind w:left="154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C7BE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7BE9"/>
    <w:rPr>
      <w:sz w:val="20"/>
      <w:szCs w:val="20"/>
      <w:lang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7BE9"/>
    <w:rPr>
      <w:rFonts w:ascii="Calibri" w:eastAsia="Calibri" w:hAnsi="Calibri" w:cs="Times New Roman"/>
      <w:sz w:val="20"/>
      <w:szCs w:val="20"/>
      <w:lang/>
    </w:rPr>
  </w:style>
  <w:style w:type="character" w:styleId="Odkaznavysvtlivky">
    <w:name w:val="endnote reference"/>
    <w:uiPriority w:val="99"/>
    <w:semiHidden/>
    <w:unhideWhenUsed/>
    <w:rsid w:val="00EC7B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BE9"/>
    <w:rPr>
      <w:sz w:val="20"/>
      <w:szCs w:val="20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BE9"/>
    <w:rPr>
      <w:rFonts w:ascii="Calibri" w:eastAsia="Calibri" w:hAnsi="Calibri" w:cs="Times New Roman"/>
      <w:sz w:val="20"/>
      <w:szCs w:val="20"/>
      <w:lang/>
    </w:rPr>
  </w:style>
  <w:style w:type="character" w:styleId="Znakapoznpodarou">
    <w:name w:val="footnote reference"/>
    <w:uiPriority w:val="99"/>
    <w:semiHidden/>
    <w:unhideWhenUsed/>
    <w:rsid w:val="00EC7BE9"/>
    <w:rPr>
      <w:vertAlign w:val="superscript"/>
    </w:rPr>
  </w:style>
  <w:style w:type="character" w:styleId="Siln">
    <w:name w:val="Strong"/>
    <w:uiPriority w:val="22"/>
    <w:qFormat/>
    <w:rsid w:val="00EC7BE9"/>
    <w:rPr>
      <w:b/>
      <w:bCs/>
    </w:rPr>
  </w:style>
  <w:style w:type="paragraph" w:customStyle="1" w:styleId="l1">
    <w:name w:val="l1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OJEMINI">
    <w:name w:val="MOJE MINI"/>
    <w:basedOn w:val="l1"/>
    <w:qFormat/>
    <w:rsid w:val="00FA7154"/>
    <w:pPr>
      <w:spacing w:before="0" w:beforeAutospacing="0" w:after="0" w:afterAutospacing="0" w:line="360" w:lineRule="auto"/>
    </w:pPr>
    <w:rPr>
      <w:sz w:val="17"/>
    </w:rPr>
  </w:style>
  <w:style w:type="paragraph" w:customStyle="1" w:styleId="l5">
    <w:name w:val="l5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EC7BE9"/>
    <w:rPr>
      <w:i/>
      <w:iCs/>
    </w:rPr>
  </w:style>
  <w:style w:type="character" w:customStyle="1" w:styleId="h1a">
    <w:name w:val="h1a"/>
    <w:basedOn w:val="Standardnpsmoodstavce"/>
    <w:rsid w:val="00EC7BE9"/>
  </w:style>
  <w:style w:type="paragraph" w:customStyle="1" w:styleId="l3">
    <w:name w:val="l3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UJpodPODnadpis">
    <w:name w:val="MUJ podPODnadpis"/>
    <w:basedOn w:val="MUJPODNADPIS"/>
    <w:rsid w:val="00EC7BE9"/>
    <w:rPr>
      <w:sz w:val="28"/>
    </w:rPr>
  </w:style>
  <w:style w:type="paragraph" w:customStyle="1" w:styleId="Default">
    <w:name w:val="Default"/>
    <w:rsid w:val="00EC7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EC7BE9"/>
  </w:style>
  <w:style w:type="paragraph" w:customStyle="1" w:styleId="KAPITOLYHL">
    <w:name w:val="KAPITOLY HL."/>
    <w:basedOn w:val="Odstavecseseznamem"/>
    <w:qFormat/>
    <w:rsid w:val="00EC7BE9"/>
    <w:pPr>
      <w:numPr>
        <w:numId w:val="48"/>
      </w:numPr>
      <w:spacing w:after="240"/>
      <w:ind w:left="714" w:hanging="357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NADPIS">
    <w:name w:val="NADPIS"/>
    <w:basedOn w:val="Normln"/>
    <w:qFormat/>
    <w:rsid w:val="00EC7BE9"/>
    <w:pPr>
      <w:spacing w:after="240"/>
      <w:jc w:val="center"/>
    </w:pPr>
    <w:rPr>
      <w:rFonts w:ascii="Times New Roman" w:eastAsiaTheme="minorHAnsi" w:hAnsi="Times New Roman"/>
      <w:b/>
      <w:sz w:val="28"/>
      <w:u w:val="single"/>
    </w:rPr>
  </w:style>
  <w:style w:type="paragraph" w:customStyle="1" w:styleId="TEXT">
    <w:name w:val="TEXT"/>
    <w:basedOn w:val="KAPITOLYHL"/>
    <w:qFormat/>
    <w:rsid w:val="00EC7BE9"/>
    <w:pPr>
      <w:numPr>
        <w:numId w:val="0"/>
      </w:numPr>
      <w:ind w:firstLine="567"/>
      <w:jc w:val="both"/>
    </w:pPr>
    <w:rPr>
      <w:b w:val="0"/>
      <w:sz w:val="20"/>
    </w:rPr>
  </w:style>
  <w:style w:type="paragraph" w:customStyle="1" w:styleId="CITACE">
    <w:name w:val="CITACE"/>
    <w:basedOn w:val="TEXT"/>
    <w:qFormat/>
    <w:rsid w:val="00EC7BE9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A4E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9C5A4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C5A4E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BE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C7B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EC7B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EC7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7BE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"/>
    <w:rsid w:val="00EC7BE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EC7BE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customStyle="1" w:styleId="MUJTEXT">
    <w:name w:val="MUJ TEXT"/>
    <w:basedOn w:val="Normln"/>
    <w:uiPriority w:val="99"/>
    <w:rsid w:val="002A376D"/>
    <w:pPr>
      <w:spacing w:after="240" w:line="360" w:lineRule="auto"/>
      <w:ind w:firstLine="567"/>
      <w:jc w:val="both"/>
    </w:pPr>
    <w:rPr>
      <w:rFonts w:ascii="Times New Roman" w:hAnsi="Times New Roman"/>
      <w:sz w:val="20"/>
    </w:rPr>
  </w:style>
  <w:style w:type="paragraph" w:customStyle="1" w:styleId="MUJHLAVNINADPIS">
    <w:name w:val="MUJ HLAVNI NADPIS"/>
    <w:basedOn w:val="MUJTEXT"/>
    <w:uiPriority w:val="99"/>
    <w:rsid w:val="00EC7BE9"/>
    <w:pPr>
      <w:keepNext/>
      <w:ind w:firstLine="0"/>
      <w:jc w:val="left"/>
    </w:pPr>
    <w:rPr>
      <w:b/>
      <w:sz w:val="40"/>
    </w:rPr>
  </w:style>
  <w:style w:type="paragraph" w:customStyle="1" w:styleId="MUJKAPITOLY">
    <w:name w:val="MUJ KAPITOLY"/>
    <w:basedOn w:val="Normln"/>
    <w:uiPriority w:val="99"/>
    <w:rsid w:val="00EC7BE9"/>
    <w:pPr>
      <w:keepNext/>
      <w:spacing w:after="240" w:line="360" w:lineRule="auto"/>
    </w:pPr>
    <w:rPr>
      <w:rFonts w:ascii="Times New Roman" w:hAnsi="Times New Roman"/>
      <w:b/>
      <w:sz w:val="36"/>
    </w:rPr>
  </w:style>
  <w:style w:type="character" w:styleId="Hypertextovodkaz">
    <w:name w:val="Hyperlink"/>
    <w:uiPriority w:val="99"/>
    <w:rsid w:val="00EC7BE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EC7B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C7BE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EC7BE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C7BE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EC7BE9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EC7BE9"/>
    <w:pPr>
      <w:spacing w:before="240" w:after="0"/>
    </w:pPr>
    <w:rPr>
      <w:b/>
      <w:bCs/>
      <w:sz w:val="20"/>
      <w:szCs w:val="20"/>
    </w:rPr>
  </w:style>
  <w:style w:type="paragraph" w:customStyle="1" w:styleId="MUJPODNADPIS">
    <w:name w:val="MUJ PODNADPIS"/>
    <w:basedOn w:val="MUJTEXT"/>
    <w:qFormat/>
    <w:rsid w:val="00EC7BE9"/>
    <w:pPr>
      <w:keepNext/>
      <w:ind w:firstLine="0"/>
      <w:jc w:val="left"/>
    </w:pPr>
    <w:rPr>
      <w:rFonts w:cs="Times New Roman,Bold"/>
      <w:b/>
      <w:bCs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EC7BE9"/>
    <w:pPr>
      <w:spacing w:after="0"/>
      <w:ind w:left="220"/>
    </w:pPr>
    <w:rPr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C7BE9"/>
    <w:pPr>
      <w:spacing w:after="0"/>
      <w:ind w:left="44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C7BE9"/>
    <w:pPr>
      <w:spacing w:after="0"/>
      <w:ind w:left="6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C7BE9"/>
    <w:pPr>
      <w:spacing w:after="0"/>
      <w:ind w:left="88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C7BE9"/>
    <w:pPr>
      <w:spacing w:after="0"/>
      <w:ind w:left="11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C7BE9"/>
    <w:pPr>
      <w:spacing w:after="0"/>
      <w:ind w:left="132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C7BE9"/>
    <w:pPr>
      <w:spacing w:after="0"/>
      <w:ind w:left="154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C7BE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7BE9"/>
    <w:rPr>
      <w:sz w:val="20"/>
      <w:szCs w:val="20"/>
      <w:lang w:val="x-non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7BE9"/>
    <w:rPr>
      <w:rFonts w:ascii="Calibri" w:eastAsia="Calibri" w:hAnsi="Calibri" w:cs="Times New Roman"/>
      <w:sz w:val="20"/>
      <w:szCs w:val="20"/>
      <w:lang w:val="x-none"/>
    </w:rPr>
  </w:style>
  <w:style w:type="character" w:styleId="Odkaznavysvtlivky">
    <w:name w:val="endnote reference"/>
    <w:uiPriority w:val="99"/>
    <w:semiHidden/>
    <w:unhideWhenUsed/>
    <w:rsid w:val="00EC7BE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7BE9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7BE9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EC7BE9"/>
    <w:rPr>
      <w:vertAlign w:val="superscript"/>
    </w:rPr>
  </w:style>
  <w:style w:type="character" w:styleId="Siln">
    <w:name w:val="Strong"/>
    <w:uiPriority w:val="22"/>
    <w:qFormat/>
    <w:rsid w:val="00EC7BE9"/>
    <w:rPr>
      <w:b/>
      <w:bCs/>
    </w:rPr>
  </w:style>
  <w:style w:type="paragraph" w:customStyle="1" w:styleId="l1">
    <w:name w:val="l1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OJEMINI">
    <w:name w:val="MOJE MINI"/>
    <w:basedOn w:val="l1"/>
    <w:qFormat/>
    <w:rsid w:val="00FA7154"/>
    <w:pPr>
      <w:spacing w:before="0" w:beforeAutospacing="0" w:after="0" w:afterAutospacing="0" w:line="360" w:lineRule="auto"/>
    </w:pPr>
    <w:rPr>
      <w:sz w:val="17"/>
    </w:rPr>
  </w:style>
  <w:style w:type="paragraph" w:customStyle="1" w:styleId="l5">
    <w:name w:val="l5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EC7BE9"/>
    <w:rPr>
      <w:i/>
      <w:iCs/>
    </w:rPr>
  </w:style>
  <w:style w:type="character" w:customStyle="1" w:styleId="h1a">
    <w:name w:val="h1a"/>
    <w:basedOn w:val="Standardnpsmoodstavce"/>
    <w:rsid w:val="00EC7BE9"/>
  </w:style>
  <w:style w:type="paragraph" w:customStyle="1" w:styleId="l3">
    <w:name w:val="l3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C7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UJpodPODnadpis">
    <w:name w:val="MUJ podPODnadpis"/>
    <w:basedOn w:val="MUJPODNADPIS"/>
    <w:rsid w:val="00EC7BE9"/>
    <w:rPr>
      <w:sz w:val="28"/>
    </w:rPr>
  </w:style>
  <w:style w:type="paragraph" w:customStyle="1" w:styleId="Default">
    <w:name w:val="Default"/>
    <w:rsid w:val="00EC7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EC7BE9"/>
  </w:style>
  <w:style w:type="paragraph" w:customStyle="1" w:styleId="KAPITOLYHL">
    <w:name w:val="KAPITOLY HL."/>
    <w:basedOn w:val="Odstavecseseznamem"/>
    <w:qFormat/>
    <w:rsid w:val="00EC7BE9"/>
    <w:pPr>
      <w:numPr>
        <w:numId w:val="48"/>
      </w:numPr>
      <w:spacing w:after="240"/>
      <w:ind w:left="714" w:hanging="357"/>
      <w:jc w:val="center"/>
    </w:pPr>
    <w:rPr>
      <w:rFonts w:ascii="Times New Roman" w:eastAsiaTheme="minorHAnsi" w:hAnsi="Times New Roman"/>
      <w:b/>
      <w:sz w:val="24"/>
    </w:rPr>
  </w:style>
  <w:style w:type="paragraph" w:customStyle="1" w:styleId="NADPIS">
    <w:name w:val="NADPIS"/>
    <w:basedOn w:val="Normln"/>
    <w:qFormat/>
    <w:rsid w:val="00EC7BE9"/>
    <w:pPr>
      <w:spacing w:after="240"/>
      <w:jc w:val="center"/>
    </w:pPr>
    <w:rPr>
      <w:rFonts w:ascii="Times New Roman" w:eastAsiaTheme="minorHAnsi" w:hAnsi="Times New Roman"/>
      <w:b/>
      <w:sz w:val="28"/>
      <w:u w:val="single"/>
    </w:rPr>
  </w:style>
  <w:style w:type="paragraph" w:customStyle="1" w:styleId="TEXT">
    <w:name w:val="TEXT"/>
    <w:basedOn w:val="KAPITOLYHL"/>
    <w:qFormat/>
    <w:rsid w:val="00EC7BE9"/>
    <w:pPr>
      <w:numPr>
        <w:numId w:val="0"/>
      </w:numPr>
      <w:ind w:firstLine="567"/>
      <w:jc w:val="both"/>
    </w:pPr>
    <w:rPr>
      <w:b w:val="0"/>
      <w:sz w:val="20"/>
    </w:rPr>
  </w:style>
  <w:style w:type="paragraph" w:customStyle="1" w:styleId="CITACE">
    <w:name w:val="CITACE"/>
    <w:basedOn w:val="TEXT"/>
    <w:qFormat/>
    <w:rsid w:val="00EC7BE9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A4E"/>
    <w:rPr>
      <w:rFonts w:ascii="Tahoma" w:eastAsia="Calibri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9C5A4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9C5A4E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E85B58-9025-444A-86BB-BE3F53E9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3614</Words>
  <Characters>21328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Srovnávací studie 2 odborných knih</dc:title>
  <dc:subject>Předmět: Jazykový projev</dc:subject>
  <dc:creator>Lenka Hadincova, DiS.</dc:creator>
  <cp:lastModifiedBy>Zajicova</cp:lastModifiedBy>
  <cp:revision>2</cp:revision>
  <dcterms:created xsi:type="dcterms:W3CDTF">2014-10-15T15:34:00Z</dcterms:created>
  <dcterms:modified xsi:type="dcterms:W3CDTF">2014-10-15T15:34:00Z</dcterms:modified>
</cp:coreProperties>
</file>