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 xml:space="preserve">9. </w:t>
      </w:r>
      <w:r>
        <w:rPr>
          <w:rFonts w:ascii="Arial Black" w:hAnsi="Arial Black" w:hint="default"/>
          <w:rtl w:val="0"/>
        </w:rPr>
        <w:t>„</w:t>
      </w:r>
      <w:r>
        <w:rPr>
          <w:rFonts w:ascii="Arial Black" w:hAnsi="Arial Black"/>
          <w:rtl w:val="0"/>
        </w:rPr>
        <w:t>Blahoslaven</w:t>
      </w:r>
      <w:r>
        <w:rPr>
          <w:rFonts w:ascii="Arial Black" w:hAnsi="Arial Black" w:hint="default"/>
          <w:rtl w:val="0"/>
        </w:rPr>
        <w:t>í č</w:t>
      </w:r>
      <w:r>
        <w:rPr>
          <w:rFonts w:ascii="Arial Black" w:hAnsi="Arial Black"/>
          <w:rtl w:val="0"/>
        </w:rPr>
        <w:t>ist</w:t>
      </w:r>
      <w:r>
        <w:rPr>
          <w:rFonts w:ascii="Arial Black" w:hAnsi="Arial Black" w:hint="default"/>
          <w:rtl w:val="0"/>
          <w:lang w:val="fr-FR"/>
        </w:rPr>
        <w:t>é</w:t>
      </w:r>
      <w:r>
        <w:rPr>
          <w:rFonts w:ascii="Arial Black" w:hAnsi="Arial Black"/>
          <w:rtl w:val="0"/>
        </w:rPr>
        <w:t>ho srdce</w:t>
      </w:r>
      <w:r>
        <w:rPr>
          <w:rFonts w:ascii="Arial Black" w:hAnsi="Arial Black" w:hint="default"/>
          <w:rtl w:val="1"/>
          <w:lang w:val="ar-SA" w:bidi="ar-SA"/>
        </w:rPr>
        <w:t>“</w:t>
      </w:r>
      <w:r>
        <w:rPr>
          <w:rFonts w:ascii="Arial Black" w:hAnsi="Arial Black"/>
          <w:rtl w:val="0"/>
        </w:rPr>
        <w:t>:</w:t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 w:hint="default"/>
          <w:rtl w:val="0"/>
        </w:rPr>
        <w:t>Č</w:t>
      </w:r>
      <w:r>
        <w:rPr>
          <w:rFonts w:ascii="Arial Black" w:hAnsi="Arial Black"/>
          <w:rtl w:val="0"/>
        </w:rPr>
        <w:t>lov</w:t>
      </w:r>
      <w:r>
        <w:rPr>
          <w:rFonts w:ascii="Arial Black" w:hAnsi="Arial Black" w:hint="default"/>
          <w:rtl w:val="0"/>
        </w:rPr>
        <w:t>ě</w:t>
      </w:r>
      <w:r>
        <w:rPr>
          <w:rFonts w:ascii="Arial Black" w:hAnsi="Arial Black"/>
          <w:rtl w:val="0"/>
        </w:rPr>
        <w:t>k a jeho vnit</w:t>
      </w:r>
      <w:r>
        <w:rPr>
          <w:rFonts w:ascii="Arial Black" w:hAnsi="Arial Black" w:hint="default"/>
          <w:rtl w:val="0"/>
        </w:rPr>
        <w:t>ř</w:t>
      </w:r>
      <w:r>
        <w:rPr>
          <w:rFonts w:ascii="Arial Black" w:hAnsi="Arial Black"/>
          <w:rtl w:val="0"/>
        </w:rPr>
        <w:t>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 xml:space="preserve">cesta. </w:t>
      </w:r>
    </w:p>
    <w:p>
      <w:pPr>
        <w:pStyle w:val="Normální"/>
        <w:ind w:firstLine="708"/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Michael McDermott: Wall I Must Climb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  <w:lang w:val="pt-PT"/>
        </w:rPr>
        <w:t>O t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ch 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  <w:lang w:val="de-DE"/>
        </w:rPr>
        <w:t>ch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cech se v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bec ned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mluvit; ty druhotn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nejlep</w:t>
      </w:r>
      <w:r>
        <w:rPr>
          <w:b w:val="1"/>
          <w:bCs w:val="1"/>
          <w:rtl w:val="0"/>
        </w:rPr>
        <w:t xml:space="preserve">ší </w:t>
      </w: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vaj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 xml:space="preserve">ěř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 xml:space="preserve">dy nepochopeny; 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ivot tak tr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me mluven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m o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cech 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ho 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</w:rPr>
        <w:t>du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</w:rPr>
        <w:t>.</w:t>
      </w:r>
      <w:r>
        <w:rPr>
          <w:b w:val="1"/>
          <w:bCs w:val="1"/>
          <w:vertAlign w:val="superscript"/>
        </w:rPr>
        <w:footnoteReference w:id="1"/>
      </w:r>
      <w:r>
        <w:rPr>
          <w:b w:val="1"/>
          <w:bCs w:val="1"/>
          <w:rtl w:val="0"/>
        </w:rPr>
        <w:t xml:space="preserve"> 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(H. Zimmer, 1890-1943)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  <w:lang w:val="it-IT"/>
        </w:rPr>
        <w:t>ci 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et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ho </w:t>
      </w:r>
      <w:r>
        <w:rPr>
          <w:b w:val="1"/>
          <w:bCs w:val="1"/>
          <w:rtl w:val="0"/>
        </w:rPr>
        <w:t>řá</w:t>
      </w:r>
      <w:r>
        <w:rPr>
          <w:b w:val="1"/>
          <w:bCs w:val="1"/>
          <w:rtl w:val="0"/>
          <w:lang w:val="zh-TW" w:eastAsia="zh-TW"/>
        </w:rPr>
        <w:t>du?</w:t>
      </w:r>
      <w:r>
        <w:rPr>
          <w:b w:val="1"/>
          <w:bCs w:val="1"/>
          <w:rtl w:val="1"/>
          <w:lang w:val="ar-SA" w:bidi="ar-SA"/>
        </w:rPr>
        <w:t>“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ci druhotn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  <w:lang w:val="zh-TW" w:eastAsia="zh-TW"/>
        </w:rPr>
        <w:t>?</w:t>
      </w:r>
      <w:r>
        <w:rPr>
          <w:b w:val="1"/>
          <w:bCs w:val="1"/>
          <w:rtl w:val="1"/>
          <w:lang w:val="ar-SA" w:bidi="ar-SA"/>
        </w:rPr>
        <w:t>“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Co jsou 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ci nejlep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  <w:lang w:val="zh-TW" w:eastAsia="zh-TW"/>
        </w:rPr>
        <w:t>?</w:t>
      </w:r>
      <w:r>
        <w:rPr>
          <w:b w:val="1"/>
          <w:bCs w:val="1"/>
          <w:rtl w:val="1"/>
          <w:lang w:val="ar-SA" w:bidi="ar-SA"/>
        </w:rPr>
        <w:t>“</w:t>
      </w:r>
    </w:p>
    <w:p>
      <w:pPr>
        <w:pStyle w:val="Normální"/>
        <w:ind w:firstLine="708"/>
        <w:rPr>
          <w:b w:val="1"/>
          <w:bCs w:val="1"/>
        </w:rPr>
      </w:pP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>Co je srdce?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 xml:space="preserve">Co je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ist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Normální"/>
        <w:ind w:firstLine="708"/>
        <w:rPr>
          <w:b w:val="1"/>
          <w:bCs w:val="1"/>
        </w:rPr>
      </w:pPr>
      <w:r>
        <w:rPr>
          <w:b w:val="1"/>
          <w:bCs w:val="1"/>
          <w:rtl w:val="0"/>
        </w:rPr>
        <w:t xml:space="preserve">Co je </w:t>
      </w:r>
      <w:r>
        <w:rPr>
          <w:b w:val="1"/>
          <w:bCs w:val="1"/>
          <w:rtl w:val="0"/>
        </w:rPr>
        <w:t>„č</w:t>
      </w:r>
      <w:r>
        <w:rPr>
          <w:b w:val="1"/>
          <w:bCs w:val="1"/>
          <w:rtl w:val="0"/>
        </w:rPr>
        <w:t>ist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ho srdce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Normální"/>
      </w:pPr>
    </w:p>
    <w:p>
      <w:pPr>
        <w:pStyle w:val="Normální"/>
      </w:pPr>
    </w:p>
    <w:p>
      <w:pPr>
        <w:pStyle w:val="Normální"/>
        <w:ind w:left="708" w:firstLine="0"/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klad blahoslavenstv</w:t>
      </w:r>
      <w:r>
        <w:rPr>
          <w:b w:val="1"/>
          <w:bCs w:val="1"/>
          <w:rtl w:val="0"/>
        </w:rPr>
        <w:t xml:space="preserve">í </w:t>
      </w:r>
    </w:p>
    <w:p>
      <w:pPr>
        <w:pStyle w:val="Normální"/>
        <w:ind w:left="708" w:firstLine="0"/>
      </w:pP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Blahoslaven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srdce, nebo</w:t>
      </w:r>
      <w:r>
        <w:rPr>
          <w:rStyle w:val="Žádný A"/>
          <w:rtl w:val="0"/>
        </w:rPr>
        <w:t xml:space="preserve">ť </w:t>
      </w:r>
      <w:r>
        <w:rPr>
          <w:rStyle w:val="Žádný A"/>
          <w:rtl w:val="0"/>
        </w:rPr>
        <w:t>oni uz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Boha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(Mt 5,8)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ist</w:t>
      </w:r>
      <w:r>
        <w:rPr>
          <w:b w:val="1"/>
          <w:bCs w:val="1"/>
          <w:i w:val="1"/>
          <w:iCs w:val="1"/>
          <w:rtl w:val="0"/>
          <w:lang w:val="fr-FR"/>
        </w:rPr>
        <w:t>é</w:t>
      </w:r>
      <w:r>
        <w:rPr>
          <w:b w:val="1"/>
          <w:bCs w:val="1"/>
          <w:i w:val="1"/>
          <w:iCs w:val="1"/>
          <w:rtl w:val="0"/>
        </w:rPr>
        <w:t>ho srdce</w:t>
      </w:r>
    </w:p>
    <w:p>
      <w:pPr>
        <w:pStyle w:val="Normální"/>
        <w:ind w:firstLine="708"/>
      </w:pPr>
      <w:r>
        <w:rPr>
          <w:rStyle w:val="Žádný A"/>
          <w:rtl w:val="0"/>
        </w:rPr>
        <w:t>Nejprve se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budeme zab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vat 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co 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slovo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srdce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, a pak hledat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znam spojen</w:t>
      </w:r>
      <w:r>
        <w:rPr>
          <w:rStyle w:val="Žádný A"/>
          <w:rtl w:val="0"/>
        </w:rPr>
        <w:t>í „č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srdce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(1)</w:t>
      </w:r>
      <w:r>
        <w:rPr>
          <w:rStyle w:val="Žádný A"/>
          <w:rtl w:val="0"/>
        </w:rPr>
        <w:t xml:space="preserve"> </w:t>
      </w:r>
      <w:r>
        <w:rPr>
          <w:i w:val="1"/>
          <w:iCs w:val="1"/>
          <w:rtl w:val="0"/>
        </w:rPr>
        <w:t>srdce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Slovo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srdce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je v NZ pou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ito celkem 156x, jemu podobn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slova jako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duch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  <w:lang w:val="fr-FR"/>
        </w:rPr>
        <w:t xml:space="preserve">379x a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du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101x. Pokus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 se zjistit, co 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mto slovem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pt-PT"/>
        </w:rPr>
        <w:t>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je pou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16x.</w:t>
      </w:r>
    </w:p>
    <w:p>
      <w:pPr>
        <w:pStyle w:val="Normální"/>
        <w:ind w:firstLine="708"/>
      </w:pP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Srdce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je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 my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lenek (9,4),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(13,15),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 hodnocen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hodnot a citov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vztah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z toho plynou (6,21),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 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zn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en-US"/>
        </w:rPr>
        <w:t>ch tu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 a aktivit (15,19),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 postoj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ůč</w:t>
      </w:r>
      <w:r>
        <w:rPr>
          <w:rStyle w:val="Žádný A"/>
          <w:rtl w:val="0"/>
        </w:rPr>
        <w:t>i druh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(11,29),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dlem vztahu k Bohu (15,8). </w:t>
      </w:r>
    </w:p>
    <w:p>
      <w:pPr>
        <w:pStyle w:val="Normální"/>
        <w:ind w:firstLine="708"/>
      </w:pP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Srdce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je tedy st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edem intelektu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ho, voln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it-IT"/>
        </w:rPr>
        <w:t>ho i citov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ivota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ka, je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stem, kde vznikaj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od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ho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se odv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jej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v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se sjednocuj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ker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na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vztahy k Bohem a druh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m. Jeliko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je takto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pan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srdce vnit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st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pt-PT"/>
        </w:rPr>
        <w:t>edem cel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osobnosti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ka, 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t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 xml:space="preserve">(2)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istota</w:t>
      </w:r>
    </w:p>
    <w:p>
      <w:pPr>
        <w:pStyle w:val="Normální"/>
        <w:ind w:firstLine="708"/>
      </w:pPr>
      <w:r>
        <w:rPr>
          <w:rStyle w:val="Žádný A"/>
          <w:rtl w:val="0"/>
        </w:rPr>
        <w:t>Nejprve se budeme zab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vat 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mto pojmem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a pak si jeho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istoty osv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tl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it-IT"/>
        </w:rPr>
        <w:t>me dal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mi biblick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texty.</w:t>
      </w:r>
    </w:p>
    <w:p>
      <w:pPr>
        <w:pStyle w:val="Normální"/>
        <w:ind w:firstLine="708"/>
      </w:pPr>
      <w:r>
        <w:rPr>
          <w:rStyle w:val="Žádný A"/>
          <w:rtl w:val="0"/>
          <w:lang w:val="pt-PT"/>
        </w:rPr>
        <w:t>Matou</w:t>
      </w:r>
      <w:r>
        <w:rPr>
          <w:rStyle w:val="Žádný A"/>
          <w:rtl w:val="0"/>
        </w:rPr>
        <w:t xml:space="preserve">š </w:t>
      </w:r>
      <w:r>
        <w:rPr>
          <w:rStyle w:val="Žádný A"/>
          <w:rtl w:val="0"/>
          <w:lang w:val="fr-FR"/>
        </w:rPr>
        <w:t>pou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slovo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istota,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, o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istit,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p.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  <w:lang w:val="en-US"/>
        </w:rPr>
        <w:t xml:space="preserve">ve 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en-US"/>
        </w:rPr>
        <w:t>ty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ech 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zn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souvislostech: malomocenstv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duchov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, 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dla a hroby.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Malomocenstv</w:t>
      </w:r>
      <w:r>
        <w:rPr>
          <w:i w:val="1"/>
          <w:iCs w:val="1"/>
          <w:rtl w:val="0"/>
        </w:rPr>
        <w:t>í</w:t>
      </w:r>
      <w:r>
        <w:rPr>
          <w:rStyle w:val="Žádný A"/>
          <w:rtl w:val="0"/>
        </w:rPr>
        <w:t xml:space="preserve"> je nemoc, kter</w:t>
      </w:r>
      <w:r>
        <w:rPr>
          <w:rStyle w:val="Žádný A"/>
          <w:rtl w:val="0"/>
        </w:rPr>
        <w:t>á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ka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a vylu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ho tak ze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lid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a </w:t>
      </w:r>
      <w:r>
        <w:rPr>
          <w:rStyle w:val="Žádný A"/>
          <w:rtl w:val="0"/>
        </w:rPr>
        <w:t>úč</w:t>
      </w:r>
      <w:r>
        <w:rPr>
          <w:rStyle w:val="Žádný A"/>
          <w:rtl w:val="0"/>
        </w:rPr>
        <w:t>asti na bohoslu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. Vyl</w:t>
      </w:r>
      <w:r>
        <w:rPr>
          <w:rStyle w:val="Žádný A"/>
          <w:rtl w:val="0"/>
        </w:rPr>
        <w:t>éč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proto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 „</w:t>
      </w:r>
      <w:r>
        <w:rPr>
          <w:rStyle w:val="Žádný A"/>
          <w:rtl w:val="0"/>
        </w:rPr>
        <w:t>o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pt-PT"/>
        </w:rPr>
        <w:t>í“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mus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konstatov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no kn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zem (srov. Mt 8,4). 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it-IT"/>
        </w:rPr>
        <w:t>moni</w:t>
      </w:r>
      <w:r>
        <w:rPr>
          <w:rStyle w:val="Žádný A"/>
          <w:rtl w:val="0"/>
        </w:rPr>
        <w:t xml:space="preserve"> jsou po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idovsk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zp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sobu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„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duchy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 xml:space="preserve">(10,1; 12,43). </w:t>
      </w:r>
      <w:r>
        <w:rPr>
          <w:rStyle w:val="Žádný A"/>
          <w:rtl w:val="0"/>
        </w:rPr>
        <w:t>„Č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je to, co je v souladu s Bohem, co pat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k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mu, co p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es-ES_tradnl"/>
        </w:rPr>
        <w:t>sob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se Bohu 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it-IT"/>
        </w:rPr>
        <w:t>me. D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it-IT"/>
        </w:rPr>
        <w:t>moni jsou silami stoj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proti Bohu a proto jsou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„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duchy</w:t>
      </w:r>
      <w:r>
        <w:rPr>
          <w:rStyle w:val="Žádný A"/>
          <w:rtl w:val="0"/>
          <w:lang w:val="de-DE"/>
        </w:rPr>
        <w:t xml:space="preserve">“ – </w:t>
      </w:r>
      <w:r>
        <w:rPr>
          <w:rStyle w:val="Žádný A"/>
          <w:rtl w:val="0"/>
        </w:rPr>
        <w:t>ze tedy v protikladu proti Duchu svat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mu. Probl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istoty je tedy probl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mem zda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et Bohu nebo ne.</w:t>
      </w:r>
    </w:p>
    <w:p>
      <w:pPr>
        <w:pStyle w:val="Normální"/>
        <w:ind w:firstLine="708"/>
      </w:pP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irovn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kon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a farizeje k vn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kov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nab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len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m </w:t>
      </w:r>
      <w:r>
        <w:rPr>
          <w:i w:val="1"/>
          <w:iCs w:val="1"/>
          <w:rtl w:val="0"/>
        </w:rPr>
        <w:t>hrob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m</w:t>
      </w:r>
      <w:r>
        <w:rPr>
          <w:rStyle w:val="Žádný A"/>
          <w:rtl w:val="0"/>
        </w:rPr>
        <w:t xml:space="preserve">, ale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uvnit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</w:rPr>
        <w:t>pln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lidsk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kost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elijak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istoty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 xml:space="preserve">(23,27). Podle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idovsk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kona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echno, co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k oblasti smrti (k mrtvol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a hrob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m), je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a vylu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uje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z bohoslu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by.</w:t>
      </w:r>
    </w:p>
    <w:p>
      <w:pPr>
        <w:pStyle w:val="Normální"/>
        <w:ind w:firstLine="708"/>
      </w:pP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vysv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tluje ot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zku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istoty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v kontroverzi s farizeji a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kon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v 15,1-20, kdy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ci jed</w:t>
      </w:r>
      <w:r>
        <w:rPr>
          <w:rStyle w:val="Žádný A"/>
          <w:rtl w:val="0"/>
        </w:rPr>
        <w:t>í</w:t>
      </w:r>
      <w:r>
        <w:rPr>
          <w:i w:val="1"/>
          <w:iCs w:val="1"/>
          <w:rtl w:val="0"/>
        </w:rPr>
        <w:t xml:space="preserve"> 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ma rukama. Nach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me zde terminologii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est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blahoslavenstv</w:t>
      </w:r>
      <w:r>
        <w:rPr>
          <w:rStyle w:val="Žádný A"/>
          <w:rtl w:val="0"/>
        </w:rPr>
        <w:t>í – „</w:t>
      </w:r>
      <w:r>
        <w:rPr>
          <w:rStyle w:val="Žádný A"/>
          <w:rtl w:val="0"/>
        </w:rPr>
        <w:t>srdce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 xml:space="preserve">(v.8.18.19) a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init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(v.11.18.20; je zde pou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ito slovesa </w:t>
      </w:r>
      <w:r>
        <w:rPr>
          <w:i w:val="1"/>
          <w:iCs w:val="1"/>
          <w:rtl w:val="0"/>
        </w:rPr>
        <w:t>koino</w:t>
      </w:r>
      <w:r>
        <w:rPr>
          <w:rStyle w:val="Žádný A"/>
          <w:rtl w:val="0"/>
        </w:rPr>
        <w:t xml:space="preserve"> jako opak toho, co je svat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, a tedy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a proto znesv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).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 xml:space="preserve">zde ustavuje princip,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istota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ka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tedy jeho stav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ed Bohem a schopnost setkat se s Bohem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nez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 xml:space="preserve">v </w:t>
      </w:r>
      <w:r>
        <w:rPr>
          <w:i w:val="1"/>
          <w:iCs w:val="1"/>
          <w:rtl w:val="0"/>
        </w:rPr>
        <w:t>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dlech</w:t>
      </w:r>
      <w:r>
        <w:rPr>
          <w:rStyle w:val="Žádný A"/>
          <w:rtl w:val="0"/>
        </w:rPr>
        <w:t xml:space="preserve"> ani v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istot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rukou, ale v tom, co vych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ze srdce. </w:t>
      </w:r>
    </w:p>
    <w:p>
      <w:pPr>
        <w:pStyle w:val="Normální"/>
        <w:ind w:firstLine="360"/>
        <w:rPr>
          <w:i w:val="1"/>
          <w:iCs w:val="1"/>
        </w:rPr>
      </w:pPr>
      <w:r>
        <w:rPr>
          <w:rStyle w:val="Žádný A"/>
        </w:rPr>
        <w:tab/>
      </w:r>
      <w:r>
        <w:rPr>
          <w:i w:val="1"/>
          <w:iCs w:val="1"/>
          <w:rtl w:val="0"/>
        </w:rPr>
        <w:t xml:space="preserve">(3)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srdce</w:t>
      </w:r>
    </w:p>
    <w:p>
      <w:pPr>
        <w:pStyle w:val="Normální"/>
        <w:ind w:firstLine="708"/>
      </w:pPr>
      <w:r>
        <w:rPr>
          <w:rStyle w:val="Žádný A"/>
          <w:rtl w:val="0"/>
          <w:lang w:val="it-IT"/>
        </w:rPr>
        <w:t xml:space="preserve">Pro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istotu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je rozhoduj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srdce a jeho stav,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na tomto stavu pak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, co ze srdce vych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Na srdci tedy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 xml:space="preserve">, zda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Bohu nebo ne a tedy zda se mu 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kam je nasm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rov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n. V</w:t>
      </w:r>
      <w:r>
        <w:rPr>
          <w:rStyle w:val="Žádný A"/>
          <w:rtl w:val="0"/>
        </w:rPr>
        <w:t>ýč</w:t>
      </w:r>
      <w:r>
        <w:rPr>
          <w:rStyle w:val="Žádný A"/>
          <w:rtl w:val="0"/>
        </w:rPr>
        <w:t xml:space="preserve">et toho, co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pt-PT"/>
        </w:rPr>
        <w:t>m, se 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 xml:space="preserve">ěř </w:t>
      </w:r>
      <w:r>
        <w:rPr>
          <w:rStyle w:val="Žádný A"/>
          <w:rtl w:val="0"/>
        </w:rPr>
        <w:t>shoduje s Desaterem. Lid</w:t>
      </w:r>
      <w:r>
        <w:rPr>
          <w:rStyle w:val="Žádný A"/>
          <w:rtl w:val="0"/>
        </w:rPr>
        <w:t>é 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srdce jsou ti, kte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maj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j st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en-US"/>
        </w:rPr>
        <w:t xml:space="preserve">ed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 xml:space="preserve">srdce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zcela ve shod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s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jsou svobodni od jak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hokoli postoje a aktivity proti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ů</w:t>
      </w:r>
      <w:r>
        <w:rPr>
          <w:rStyle w:val="Žádný A"/>
          <w:rtl w:val="0"/>
          <w:lang w:val="it-IT"/>
        </w:rPr>
        <w:t xml:space="preserve">li. </w:t>
      </w:r>
    </w:p>
    <w:p>
      <w:pPr>
        <w:pStyle w:val="Normální"/>
        <w:ind w:left="708" w:firstLine="0"/>
      </w:pPr>
    </w:p>
    <w:p>
      <w:pPr>
        <w:pStyle w:val="Normální"/>
        <w:ind w:left="708" w:firstLine="0"/>
      </w:pPr>
      <w:r>
        <w:rPr>
          <w:b w:val="1"/>
          <w:bCs w:val="1"/>
          <w:i w:val="1"/>
          <w:iCs w:val="1"/>
          <w:rtl w:val="0"/>
        </w:rPr>
        <w:t>Uz</w:t>
      </w:r>
      <w:r>
        <w:rPr>
          <w:b w:val="1"/>
          <w:bCs w:val="1"/>
          <w:i w:val="1"/>
          <w:iCs w:val="1"/>
          <w:rtl w:val="0"/>
        </w:rPr>
        <w:t xml:space="preserve">ří </w:t>
      </w:r>
      <w:r>
        <w:rPr>
          <w:b w:val="1"/>
          <w:bCs w:val="1"/>
          <w:i w:val="1"/>
          <w:iCs w:val="1"/>
          <w:rtl w:val="0"/>
        </w:rPr>
        <w:t>Boha</w:t>
      </w:r>
    </w:p>
    <w:p>
      <w:pPr>
        <w:pStyle w:val="Normální"/>
        <w:ind w:firstLine="360"/>
      </w:pP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h je v NZ 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it-IT"/>
        </w:rPr>
        <w:t>asto naz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ne-viditeln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(</w:t>
      </w:r>
      <w:r>
        <w:rPr>
          <w:i w:val="1"/>
          <w:iCs w:val="1"/>
          <w:rtl w:val="0"/>
          <w:lang w:val="pt-PT"/>
        </w:rPr>
        <w:t>a-oratos</w:t>
      </w:r>
      <w:r>
        <w:rPr>
          <w:rStyle w:val="Žádný A"/>
          <w:rtl w:val="0"/>
        </w:rPr>
        <w:t>, 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. Ko 1,15; srov. Jn 1,18; 6,46). Podle 1K 13,12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nyn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 jako v zrcadle, jen v 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dance, potom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uz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me tv</w:t>
      </w:r>
      <w:r>
        <w:rPr>
          <w:rStyle w:val="Žádný A"/>
          <w:rtl w:val="0"/>
        </w:rPr>
        <w:t xml:space="preserve">áří </w:t>
      </w:r>
      <w:r>
        <w:rPr>
          <w:rStyle w:val="Žádný A"/>
          <w:rtl w:val="0"/>
        </w:rPr>
        <w:t>v tv</w:t>
      </w:r>
      <w:r>
        <w:rPr>
          <w:rStyle w:val="Žádný A"/>
          <w:rtl w:val="0"/>
        </w:rPr>
        <w:t>ář</w:t>
      </w:r>
      <w:r>
        <w:rPr>
          <w:rStyle w:val="Žádný A"/>
          <w:rtl w:val="0"/>
        </w:rPr>
        <w:t>. Nyn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pozn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, ale potom pozn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pln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, jako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 zn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mne.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Je to pozn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jemn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, </w:t>
      </w:r>
      <w:r>
        <w:rPr>
          <w:i w:val="1"/>
          <w:iCs w:val="1"/>
          <w:rtl w:val="0"/>
        </w:rPr>
        <w:t>tv</w:t>
      </w:r>
      <w:r>
        <w:rPr>
          <w:i w:val="1"/>
          <w:iCs w:val="1"/>
          <w:rtl w:val="0"/>
        </w:rPr>
        <w:t xml:space="preserve">áří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tv</w:t>
      </w:r>
      <w:r>
        <w:rPr>
          <w:i w:val="1"/>
          <w:iCs w:val="1"/>
          <w:rtl w:val="0"/>
        </w:rPr>
        <w:t>ář</w:t>
      </w:r>
      <w:r>
        <w:rPr>
          <w:rStyle w:val="Žádný A"/>
          <w:rtl w:val="0"/>
        </w:rPr>
        <w:t>; podobn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 xml:space="preserve">1J 3,2; Zj 22,4. </w:t>
      </w:r>
    </w:p>
    <w:p>
      <w:pPr>
        <w:pStyle w:val="Normální"/>
        <w:ind w:firstLine="708"/>
      </w:pP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tyto texty  (1)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slovn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zmi</w:t>
      </w:r>
      <w:r>
        <w:rPr>
          <w:rStyle w:val="Žádný A"/>
          <w:rtl w:val="0"/>
        </w:rPr>
        <w:t>ň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en-US"/>
        </w:rPr>
        <w:t>od h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ch</w:t>
      </w:r>
      <w:r>
        <w:rPr>
          <w:rStyle w:val="Žádný A"/>
          <w:rtl w:val="0"/>
        </w:rPr>
        <w:t xml:space="preserve">ů </w:t>
      </w:r>
      <w:r>
        <w:rPr>
          <w:rStyle w:val="Žádný A"/>
          <w:rtl w:val="0"/>
        </w:rPr>
        <w:t>jako podm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nku vid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Boha (srov. Mt 5,8); 1K13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hovo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  <w:lang w:val="it-IT"/>
        </w:rPr>
        <w:t>o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sce; (2) ohla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nu sou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asn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stavu a jeho spojen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de-DE"/>
        </w:rPr>
        <w:t>s eschatologick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napln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m; (3) potvrzuj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de-DE"/>
        </w:rPr>
        <w:t>spr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vnost interpretace,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Mt 5,8 se odvol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  <w:lang w:val="nl-NL"/>
        </w:rPr>
        <w:t>na eschatologick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napln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>Praktick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sledky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Jako hlad a 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ze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 xml:space="preserve">po spravedlnosti, tak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srdce tou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  <w:lang w:val="it-IT"/>
        </w:rPr>
        <w:t>po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li. Ti, kdo tuto touhu maj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cht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aby nejen vn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aktivity, ale i cel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vnit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byl orientov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k Bohu a jeho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li. Chud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duchem jsou podobn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jako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srdcem,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em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se 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odvol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na cel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ka. Jedin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zde je mo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no uznat radik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vislost na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 a dokonalou shodu s jeho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Prvn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postoj je sp</w:t>
      </w:r>
      <w:r>
        <w:rPr>
          <w:rStyle w:val="Žádný A"/>
          <w:rtl w:val="0"/>
        </w:rPr>
        <w:t xml:space="preserve">íš </w:t>
      </w:r>
      <w:r>
        <w:rPr>
          <w:rStyle w:val="Žádný A"/>
          <w:rtl w:val="0"/>
        </w:rPr>
        <w:t>pasivn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druh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sp</w:t>
      </w:r>
      <w:r>
        <w:rPr>
          <w:rStyle w:val="Žádný A"/>
          <w:rtl w:val="0"/>
        </w:rPr>
        <w:t xml:space="preserve">íš </w:t>
      </w:r>
      <w:r>
        <w:rPr>
          <w:rStyle w:val="Žádný A"/>
          <w:rtl w:val="0"/>
        </w:rPr>
        <w:t>aktivn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jsou inkluz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zahrnuje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v nich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se popisuje,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postoje maj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ur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ovat vztahy k Bohu a bli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m.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pak bude o postoji k 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dav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pt-PT"/>
        </w:rPr>
        <w:t>m a pron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sledovatel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m.</w:t>
      </w:r>
    </w:p>
    <w:p>
      <w:pPr>
        <w:pStyle w:val="Normální"/>
        <w:ind w:firstLine="708"/>
      </w:pPr>
      <w:r>
        <w:rPr>
          <w:rStyle w:val="Žádný A"/>
          <w:rtl w:val="0"/>
        </w:rPr>
        <w:t xml:space="preserve">V 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est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se poprv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slovn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hovo</w:t>
      </w:r>
      <w:r>
        <w:rPr>
          <w:rStyle w:val="Žádný A"/>
          <w:rtl w:val="0"/>
        </w:rPr>
        <w:t xml:space="preserve">ří </w:t>
      </w:r>
      <w:r>
        <w:rPr>
          <w:rStyle w:val="Žádný A"/>
          <w:rtl w:val="0"/>
        </w:rPr>
        <w:t>o Bohu, o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setk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 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m. Zat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mco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edchoz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snad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mohla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nejasn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, nyn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ne: dar Boha samotn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it-IT"/>
        </w:rPr>
        <w:t xml:space="preserve">ho.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cha, milosrdenstv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atd. nen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ni</w:t>
      </w:r>
      <w:r>
        <w:rPr>
          <w:rStyle w:val="Žádný A"/>
          <w:rtl w:val="0"/>
        </w:rPr>
        <w:t>čí</w:t>
      </w:r>
      <w:r>
        <w:rPr>
          <w:rStyle w:val="Žádný A"/>
          <w:rtl w:val="0"/>
        </w:rPr>
        <w:t>m jin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ne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je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ijat do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ho. Zd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se,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povaha tohoto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bude nad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le up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na sedm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m. </w:t>
      </w:r>
    </w:p>
    <w:p>
      <w:pPr>
        <w:pStyle w:val="Normální"/>
        <w:ind w:firstLine="708"/>
      </w:pPr>
      <w:r>
        <w:rPr>
          <w:rStyle w:val="Žádný A"/>
          <w:rtl w:val="0"/>
          <w:lang w:val="en-US"/>
        </w:rPr>
        <w:t xml:space="preserve">I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nev</w:t>
      </w:r>
      <w:r>
        <w:rPr>
          <w:rStyle w:val="Žádný A"/>
          <w:rtl w:val="0"/>
        </w:rPr>
        <w:t>ěří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j st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ed! Buduje se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sil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o vnit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integritu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souhlasu s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lidsk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mi ide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ly.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b w:val="1"/>
          <w:bCs w:val="1"/>
          <w:rtl w:val="0"/>
        </w:rPr>
        <w:t xml:space="preserve"> Modlitba srdce</w:t>
      </w:r>
      <w:r>
        <w:rPr>
          <w:rStyle w:val="Žádný A"/>
          <w:rtl w:val="0"/>
        </w:rPr>
        <w:t xml:space="preserve"> </w:t>
      </w:r>
      <w:r>
        <w:rPr>
          <w:b w:val="1"/>
          <w:bCs w:val="1"/>
          <w:rtl w:val="0"/>
        </w:rPr>
        <w:t>(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Je</w:t>
      </w:r>
      <w:r>
        <w:rPr>
          <w:b w:val="1"/>
          <w:bCs w:val="1"/>
          <w:rtl w:val="0"/>
        </w:rPr>
        <w:t>žíš</w:t>
      </w:r>
      <w:r>
        <w:rPr>
          <w:b w:val="1"/>
          <w:bCs w:val="1"/>
          <w:rtl w:val="0"/>
        </w:rPr>
        <w:t>ova modlitba</w:t>
      </w:r>
      <w:r>
        <w:rPr>
          <w:b w:val="1"/>
          <w:bCs w:val="1"/>
          <w:rtl w:val="1"/>
          <w:lang w:val="ar-SA" w:bidi="ar-SA"/>
        </w:rPr>
        <w:t>“</w:t>
      </w:r>
      <w:r>
        <w:rPr>
          <w:b w:val="1"/>
          <w:bCs w:val="1"/>
          <w:rtl w:val="0"/>
        </w:rPr>
        <w:t>)</w:t>
      </w:r>
    </w:p>
    <w:p>
      <w:pPr>
        <w:pStyle w:val="Normální"/>
        <w:ind w:firstLine="708"/>
      </w:pPr>
      <w:r>
        <w:rPr>
          <w:rStyle w:val="Žádný A"/>
          <w:rtl w:val="0"/>
        </w:rPr>
        <w:t>Je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jin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cesta, jak srdce uchovat </w:t>
      </w:r>
      <w:r>
        <w:rPr>
          <w:rStyle w:val="Žádný A"/>
          <w:rtl w:val="0"/>
        </w:rPr>
        <w:t>„č</w:t>
      </w:r>
      <w:r>
        <w:rPr>
          <w:rStyle w:val="Žádný A"/>
          <w:rtl w:val="0"/>
        </w:rPr>
        <w:t>ist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-  praktikov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tzv.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 xml:space="preserve">ovy modlitby </w:t>
      </w:r>
      <w:r>
        <w:rPr>
          <w:rStyle w:val="Žádný A"/>
          <w:rtl w:val="0"/>
        </w:rPr>
        <w:t>„</w:t>
      </w:r>
      <w:r>
        <w:rPr>
          <w:rStyle w:val="Žádný A"/>
          <w:rtl w:val="0"/>
          <w:lang w:val="da-DK"/>
        </w:rPr>
        <w:t>Pane 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i Kriste, Synu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, smiluj se nade mnou h</w:t>
      </w:r>
      <w:r>
        <w:rPr>
          <w:rStyle w:val="Žádný A"/>
          <w:rtl w:val="0"/>
        </w:rPr>
        <w:t>říš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.</w:t>
      </w:r>
      <w:r>
        <w:rPr>
          <w:rStyle w:val="Značka pozn. pod čarou"/>
        </w:rPr>
        <w:footnoteReference w:id="2"/>
      </w:r>
    </w:p>
    <w:p>
      <w:pPr>
        <w:pStyle w:val="Normální"/>
        <w:ind w:firstLine="708"/>
      </w:pPr>
      <w:r>
        <w:rPr>
          <w:rStyle w:val="Žádný A"/>
          <w:rtl w:val="0"/>
          <w:lang w:val="it-IT"/>
        </w:rPr>
        <w:t>Origin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zp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sobem ji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en-US"/>
        </w:rPr>
        <w:t>ibli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John Tavener a Bjork.</w:t>
      </w:r>
    </w:p>
    <w:p>
      <w:pPr>
        <w:pStyle w:val="Normální"/>
        <w:ind w:firstLine="708"/>
      </w:pPr>
      <w:r>
        <w:rPr>
          <w:rStyle w:val="Žádný A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"https://www.youtube.com/watch?v=lEhq3rkbVr8"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https://www.youtube.com/watch?v=lEhq3rkbVr8</w:t>
      </w:r>
      <w:r>
        <w:rPr/>
        <w:fldChar w:fldCharType="end" w:fldLock="0"/>
      </w:r>
      <w:r>
        <w:rPr>
          <w:rStyle w:val="Žádný A"/>
          <w:rtl w:val="0"/>
        </w:rPr>
        <w:t>)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xt pozn. pod čarou"/>
      </w:pPr>
      <w:r>
        <w:rPr>
          <w:b w:val="1"/>
          <w:bCs w:val="1"/>
          <w:vertAlign w:val="superscript"/>
        </w:rPr>
        <w:footnoteRef/>
      </w:r>
      <w:r>
        <w:rPr>
          <w:rStyle w:val="Žádný A"/>
          <w:rFonts w:cs="Arial Unicode MS" w:eastAsia="Arial Unicode MS"/>
          <w:rtl w:val="0"/>
        </w:rPr>
        <w:t xml:space="preserve"> Srov. R. Rohr, </w:t>
      </w:r>
      <w:r>
        <w:rPr>
          <w:rFonts w:cs="Arial Unicode MS" w:eastAsia="Arial Unicode MS"/>
          <w:i w:val="1"/>
          <w:iCs w:val="1"/>
          <w:rtl w:val="0"/>
        </w:rPr>
        <w:t>Skryt</w:t>
      </w:r>
      <w:r>
        <w:rPr>
          <w:rFonts w:cs="Arial Unicode MS" w:eastAsia="Arial Unicode MS" w:hint="default"/>
          <w:i w:val="1"/>
          <w:iCs w:val="1"/>
          <w:rtl w:val="0"/>
          <w:lang w:val="fr-FR"/>
        </w:rPr>
        <w:t xml:space="preserve">é </w:t>
      </w:r>
      <w:r>
        <w:rPr>
          <w:rFonts w:cs="Arial Unicode MS" w:eastAsia="Arial Unicode MS"/>
          <w:i w:val="1"/>
          <w:iCs w:val="1"/>
          <w:rtl w:val="0"/>
        </w:rPr>
        <w:t>v</w:t>
      </w:r>
      <w:r>
        <w:rPr>
          <w:rFonts w:cs="Arial Unicode MS" w:eastAsia="Arial Unicode MS" w:hint="default"/>
          <w:i w:val="1"/>
          <w:iCs w:val="1"/>
          <w:rtl w:val="0"/>
        </w:rPr>
        <w:t>ě</w:t>
      </w:r>
      <w:r>
        <w:rPr>
          <w:rFonts w:cs="Arial Unicode MS" w:eastAsia="Arial Unicode MS"/>
          <w:i w:val="1"/>
          <w:iCs w:val="1"/>
          <w:rtl w:val="0"/>
        </w:rPr>
        <w:t>ci</w:t>
      </w:r>
      <w:r>
        <w:rPr>
          <w:rStyle w:val="Žádný A"/>
          <w:rFonts w:cs="Arial Unicode MS" w:eastAsia="Arial Unicode MS"/>
          <w:rtl w:val="0"/>
        </w:rPr>
        <w:t>, Cesta, Brno 2009, str. 119.</w:t>
      </w:r>
    </w:p>
  </w:footnote>
  <w:footnote w:id="2">
    <w:p>
      <w:pPr>
        <w:pStyle w:val="Text pozn. pod čarou"/>
      </w:pPr>
      <w:r>
        <w:rPr>
          <w:rStyle w:val="Značka pozn. pod čarou"/>
        </w:rPr>
        <w:footnoteRef/>
      </w:r>
      <w:r>
        <w:rPr>
          <w:rStyle w:val="Žádný A"/>
          <w:rFonts w:cs="Arial Unicode MS" w:eastAsia="Arial Unicode MS"/>
          <w:rtl w:val="0"/>
        </w:rPr>
        <w:t xml:space="preserve"> Srov. nap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 xml:space="preserve">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"https://cs.wikipedia.org/wiki/Poutn%25C3%25ADk_vypr%25C3%25A1v%25C3%25AD_o_sv%25C3%25A9_cest%25C4%259B_k_Bohu"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en-US"/>
        </w:rPr>
        <w:t>https://cs.wikipedia.org/wiki/Poutn</w:t>
      </w:r>
      <w:r>
        <w:rPr>
          <w:rStyle w:val="Hyperlink.0"/>
          <w:rFonts w:cs="Arial Unicode MS" w:eastAsia="Arial Unicode MS" w:hint="default"/>
          <w:rtl w:val="0"/>
        </w:rPr>
        <w:t>í</w:t>
      </w:r>
      <w:r>
        <w:rPr>
          <w:rStyle w:val="Hyperlink.0"/>
          <w:rFonts w:cs="Arial Unicode MS" w:eastAsia="Arial Unicode MS"/>
          <w:rtl w:val="0"/>
        </w:rPr>
        <w:t>k_vypr</w:t>
      </w:r>
      <w:r>
        <w:rPr>
          <w:rStyle w:val="Hyperlink.0"/>
          <w:rFonts w:cs="Arial Unicode MS" w:eastAsia="Arial Unicode MS" w:hint="default"/>
          <w:rtl w:val="0"/>
        </w:rPr>
        <w:t>á</w:t>
      </w:r>
      <w:r>
        <w:rPr>
          <w:rStyle w:val="Hyperlink.0"/>
          <w:rFonts w:cs="Arial Unicode MS" w:eastAsia="Arial Unicode MS"/>
          <w:rtl w:val="0"/>
        </w:rPr>
        <w:t>v</w:t>
      </w:r>
      <w:r>
        <w:rPr>
          <w:rStyle w:val="Hyperlink.0"/>
          <w:rFonts w:cs="Arial Unicode MS" w:eastAsia="Arial Unicode MS" w:hint="default"/>
          <w:rtl w:val="0"/>
        </w:rPr>
        <w:t>í</w:t>
      </w:r>
      <w:r>
        <w:rPr>
          <w:rStyle w:val="Hyperlink.0"/>
          <w:rFonts w:cs="Arial Unicode MS" w:eastAsia="Arial Unicode MS"/>
          <w:rtl w:val="0"/>
          <w:lang w:val="en-US"/>
        </w:rPr>
        <w:t>_o_sv</w:t>
      </w:r>
      <w:r>
        <w:rPr>
          <w:rStyle w:val="Hyperlink.0"/>
          <w:rFonts w:cs="Arial Unicode MS" w:eastAsia="Arial Unicode MS" w:hint="default"/>
          <w:rtl w:val="0"/>
          <w:lang w:val="fr-FR"/>
        </w:rPr>
        <w:t>é</w:t>
      </w:r>
      <w:r>
        <w:rPr>
          <w:rStyle w:val="Hyperlink.0"/>
          <w:rFonts w:cs="Arial Unicode MS" w:eastAsia="Arial Unicode MS"/>
          <w:rtl w:val="0"/>
          <w:lang w:val="en-US"/>
        </w:rPr>
        <w:t>_cest</w:t>
      </w:r>
      <w:r>
        <w:rPr>
          <w:rStyle w:val="Hyperlink.0"/>
          <w:rFonts w:cs="Arial Unicode MS" w:eastAsia="Arial Unicode MS" w:hint="default"/>
          <w:rtl w:val="0"/>
        </w:rPr>
        <w:t>ě</w:t>
      </w:r>
      <w:r>
        <w:rPr>
          <w:rStyle w:val="Hyperlink.0"/>
          <w:rFonts w:cs="Arial Unicode MS" w:eastAsia="Arial Unicode MS"/>
          <w:rtl w:val="0"/>
        </w:rPr>
        <w:t>_k_Bohu</w:t>
      </w:r>
      <w:r>
        <w:rPr/>
        <w:fldChar w:fldCharType="end" w:fldLock="0"/>
      </w:r>
      <w:r>
        <w:rPr>
          <w:rStyle w:val="Žádný A"/>
          <w:rFonts w:cs="Arial Unicode MS" w:eastAsia="Arial Unicode MS"/>
          <w:rtl w:val="0"/>
        </w:rPr>
        <w:t>, 15-04-2018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pozn. pod čarou">
    <w:name w:val="Text pozn. pod čarou"/>
    <w:next w:val="Text pozn. pod čaro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Značka pozn. pod čarou">
    <w:name w:val="Značka pozn. pod čarou"/>
    <w:rPr>
      <w:vertAlign w:val="superscript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